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ook w:val="04A0" w:firstRow="1" w:lastRow="0" w:firstColumn="1" w:lastColumn="0" w:noHBand="0" w:noVBand="1"/>
      </w:tblPr>
      <w:tblGrid>
        <w:gridCol w:w="3846"/>
        <w:gridCol w:w="5506"/>
      </w:tblGrid>
      <w:tr w:rsidR="00F942EB" w:rsidRPr="008157BA" w14:paraId="1DD079D6" w14:textId="77777777" w:rsidTr="00F942EB">
        <w:trPr>
          <w:trHeight w:val="3261"/>
        </w:trPr>
        <w:tc>
          <w:tcPr>
            <w:tcW w:w="3846" w:type="dxa"/>
          </w:tcPr>
          <w:p w14:paraId="615BEFD0" w14:textId="2B59AD15" w:rsidR="00F942EB" w:rsidRPr="008157BA" w:rsidRDefault="00C35482" w:rsidP="000A32EF">
            <w:pPr>
              <w:widowControl w:val="0"/>
              <w:jc w:val="center"/>
              <w:rPr>
                <w:rFonts w:cs="Times New Roman"/>
              </w:rPr>
            </w:pPr>
            <w:r w:rsidRPr="008157BA">
              <w:rPr>
                <w:rFonts w:cs="Times New Roman"/>
                <w:noProof/>
                <w:lang w:eastAsia="en-US"/>
              </w:rPr>
              <w:drawing>
                <wp:inline distT="0" distB="0" distL="0" distR="0" wp14:anchorId="71640A49" wp14:editId="79A23429">
                  <wp:extent cx="2123445" cy="2340000"/>
                  <wp:effectExtent l="0" t="0" r="0" b="0"/>
                  <wp:docPr id="4" name="Resim 4" descr="https://www.istes.org/ckfinder/upload/images/ijonse-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tes.org/ckfinder/upload/images/ijonse-s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8938" r="10335"/>
                          <a:stretch/>
                        </pic:blipFill>
                        <pic:spPr bwMode="auto">
                          <a:xfrm>
                            <a:off x="0" y="0"/>
                            <a:ext cx="2123445" cy="2340000"/>
                          </a:xfrm>
                          <a:prstGeom prst="rect">
                            <a:avLst/>
                          </a:prstGeom>
                          <a:noFill/>
                          <a:ln>
                            <a:noFill/>
                          </a:ln>
                          <a:extLst>
                            <a:ext uri="{53640926-AAD7-44D8-BBD7-CCE9431645EC}">
                              <a14:shadowObscured xmlns:a14="http://schemas.microsoft.com/office/drawing/2010/main"/>
                            </a:ext>
                          </a:extLst>
                        </pic:spPr>
                      </pic:pic>
                    </a:graphicData>
                  </a:graphic>
                </wp:inline>
              </w:drawing>
            </w:r>
          </w:p>
          <w:p w14:paraId="55276B79" w14:textId="2395DBA5" w:rsidR="00F942EB" w:rsidRPr="008157BA" w:rsidRDefault="00760E94" w:rsidP="000A32EF">
            <w:pPr>
              <w:widowControl w:val="0"/>
              <w:jc w:val="center"/>
              <w:rPr>
                <w:rFonts w:cs="Times New Roman"/>
                <w:i/>
              </w:rPr>
            </w:pPr>
            <w:hyperlink r:id="rId9" w:history="1">
              <w:r w:rsidR="00232045" w:rsidRPr="008157BA">
                <w:rPr>
                  <w:rStyle w:val="Kpr"/>
                  <w:rFonts w:cs="Times New Roman"/>
                  <w:i/>
                  <w:szCs w:val="20"/>
                </w:rPr>
                <w:t>www.ijonse.net</w:t>
              </w:r>
            </w:hyperlink>
            <w:r w:rsidR="00232045" w:rsidRPr="008157BA">
              <w:rPr>
                <w:rFonts w:cs="Times New Roman"/>
                <w:i/>
              </w:rPr>
              <w:t xml:space="preserve"> </w:t>
            </w:r>
          </w:p>
        </w:tc>
        <w:tc>
          <w:tcPr>
            <w:tcW w:w="5506" w:type="dxa"/>
          </w:tcPr>
          <w:p w14:paraId="338AD93D" w14:textId="554B61D3" w:rsidR="00232045" w:rsidRPr="008157BA" w:rsidRDefault="008157BA" w:rsidP="009D2197">
            <w:pPr>
              <w:widowControl w:val="0"/>
              <w:rPr>
                <w:rFonts w:cs="Times New Roman"/>
              </w:rPr>
            </w:pPr>
            <w:r w:rsidRPr="008157BA">
              <w:rPr>
                <w:rFonts w:cs="Times New Roman"/>
                <w:b/>
                <w:sz w:val="28"/>
                <w:szCs w:val="28"/>
              </w:rPr>
              <w:t xml:space="preserve">Cultural Values as Contributors to </w:t>
            </w:r>
            <w:proofErr w:type="spellStart"/>
            <w:r w:rsidRPr="008157BA">
              <w:rPr>
                <w:rFonts w:cs="Times New Roman"/>
                <w:b/>
                <w:sz w:val="28"/>
                <w:szCs w:val="28"/>
              </w:rPr>
              <w:t>Latinx</w:t>
            </w:r>
            <w:proofErr w:type="spellEnd"/>
            <w:r w:rsidRPr="008157BA">
              <w:rPr>
                <w:rFonts w:cs="Times New Roman"/>
                <w:b/>
                <w:sz w:val="28"/>
                <w:szCs w:val="28"/>
              </w:rPr>
              <w:t xml:space="preserve"> Student Grades </w:t>
            </w:r>
          </w:p>
          <w:p w14:paraId="16F45EBF" w14:textId="68C01CDB" w:rsidR="000A32EF" w:rsidRDefault="000A32EF" w:rsidP="000A32EF">
            <w:pPr>
              <w:widowControl w:val="0"/>
              <w:jc w:val="left"/>
              <w:rPr>
                <w:rFonts w:cs="Times New Roman"/>
                <w:b/>
                <w:szCs w:val="20"/>
              </w:rPr>
            </w:pPr>
          </w:p>
          <w:p w14:paraId="2D1FE363" w14:textId="77777777" w:rsidR="004A65CC" w:rsidRPr="008157BA" w:rsidRDefault="004A65CC" w:rsidP="000A32EF">
            <w:pPr>
              <w:widowControl w:val="0"/>
              <w:jc w:val="left"/>
              <w:rPr>
                <w:rFonts w:cs="Times New Roman"/>
                <w:b/>
                <w:szCs w:val="20"/>
              </w:rPr>
            </w:pPr>
          </w:p>
          <w:p w14:paraId="70BCB5A0" w14:textId="12EFECA1" w:rsidR="00232045" w:rsidRPr="008157BA" w:rsidRDefault="008157BA" w:rsidP="000A32EF">
            <w:pPr>
              <w:widowControl w:val="0"/>
              <w:jc w:val="left"/>
              <w:rPr>
                <w:rFonts w:cs="Times New Roman"/>
                <w:b/>
                <w:szCs w:val="20"/>
              </w:rPr>
            </w:pPr>
            <w:r w:rsidRPr="008157BA">
              <w:rPr>
                <w:rFonts w:cs="Times New Roman"/>
                <w:b/>
                <w:szCs w:val="20"/>
              </w:rPr>
              <w:t xml:space="preserve">Amanda Taggart </w:t>
            </w:r>
            <w:r w:rsidR="00FB4243" w:rsidRPr="008157BA">
              <w:rPr>
                <w:rFonts w:cs="Times New Roman"/>
                <w:noProof/>
                <w:lang w:eastAsia="en-US"/>
              </w:rPr>
              <w:drawing>
                <wp:inline distT="0" distB="0" distL="0" distR="0" wp14:anchorId="3A7715CD" wp14:editId="058C32DE">
                  <wp:extent cx="159385" cy="159385"/>
                  <wp:effectExtent l="0" t="0" r="0" b="0"/>
                  <wp:docPr id="1" name="Resim 1" descr="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orcid logo 16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p w14:paraId="0CAA67CC" w14:textId="4C963DE0" w:rsidR="000A32EF" w:rsidRPr="008157BA" w:rsidRDefault="008157BA" w:rsidP="008157BA">
            <w:pPr>
              <w:widowControl w:val="0"/>
              <w:jc w:val="left"/>
              <w:rPr>
                <w:rFonts w:cs="Times New Roman"/>
                <w:b/>
                <w:szCs w:val="20"/>
              </w:rPr>
            </w:pPr>
            <w:r w:rsidRPr="008157BA">
              <w:rPr>
                <w:rFonts w:cs="Times New Roman"/>
                <w:szCs w:val="20"/>
              </w:rPr>
              <w:t xml:space="preserve">Utah State University, USA </w:t>
            </w:r>
          </w:p>
          <w:p w14:paraId="29B19C93" w14:textId="220FE95D" w:rsidR="00F942EB" w:rsidRPr="008157BA" w:rsidRDefault="00F942EB" w:rsidP="000A32EF">
            <w:pPr>
              <w:widowControl w:val="0"/>
              <w:jc w:val="left"/>
              <w:rPr>
                <w:rFonts w:cs="Times New Roman"/>
                <w:szCs w:val="20"/>
              </w:rPr>
            </w:pPr>
          </w:p>
        </w:tc>
      </w:tr>
      <w:tr w:rsidR="00F942EB" w:rsidRPr="008157BA" w14:paraId="57F29C05" w14:textId="77777777" w:rsidTr="008C3055">
        <w:tc>
          <w:tcPr>
            <w:tcW w:w="9352" w:type="dxa"/>
            <w:gridSpan w:val="2"/>
          </w:tcPr>
          <w:p w14:paraId="1BF16AC8" w14:textId="77777777" w:rsidR="00F942EB" w:rsidRPr="008157BA" w:rsidRDefault="00F942EB" w:rsidP="000A32EF">
            <w:pPr>
              <w:widowControl w:val="0"/>
              <w:autoSpaceDE w:val="0"/>
              <w:autoSpaceDN w:val="0"/>
              <w:adjustRightInd w:val="0"/>
              <w:jc w:val="left"/>
              <w:rPr>
                <w:rFonts w:eastAsia="Times New Roman" w:cs="Times New Roman"/>
                <w:b/>
                <w:bCs/>
                <w:szCs w:val="20"/>
                <w:lang w:eastAsia="tr-TR"/>
              </w:rPr>
            </w:pPr>
          </w:p>
          <w:p w14:paraId="716C2927" w14:textId="77777777" w:rsidR="00F942EB" w:rsidRPr="008157BA" w:rsidRDefault="00F942EB" w:rsidP="000A32EF">
            <w:pPr>
              <w:widowControl w:val="0"/>
              <w:autoSpaceDE w:val="0"/>
              <w:autoSpaceDN w:val="0"/>
              <w:adjustRightInd w:val="0"/>
              <w:jc w:val="left"/>
              <w:rPr>
                <w:rFonts w:eastAsia="Times New Roman" w:cs="Times New Roman"/>
                <w:b/>
                <w:bCs/>
                <w:szCs w:val="20"/>
                <w:lang w:eastAsia="tr-TR"/>
              </w:rPr>
            </w:pPr>
          </w:p>
          <w:p w14:paraId="5D73B607" w14:textId="77777777" w:rsidR="00F942EB" w:rsidRPr="008157BA" w:rsidRDefault="00F942EB" w:rsidP="000A32EF">
            <w:pPr>
              <w:widowControl w:val="0"/>
              <w:autoSpaceDE w:val="0"/>
              <w:autoSpaceDN w:val="0"/>
              <w:adjustRightInd w:val="0"/>
              <w:jc w:val="left"/>
              <w:rPr>
                <w:rFonts w:eastAsia="Times New Roman" w:cs="Times New Roman"/>
                <w:b/>
                <w:bCs/>
                <w:szCs w:val="20"/>
                <w:lang w:eastAsia="tr-TR"/>
              </w:rPr>
            </w:pPr>
          </w:p>
          <w:p w14:paraId="3B1B03EF" w14:textId="77777777" w:rsidR="00F942EB" w:rsidRPr="008157BA" w:rsidRDefault="00F942EB" w:rsidP="000A32EF">
            <w:pPr>
              <w:widowControl w:val="0"/>
              <w:autoSpaceDE w:val="0"/>
              <w:autoSpaceDN w:val="0"/>
              <w:adjustRightInd w:val="0"/>
              <w:jc w:val="left"/>
              <w:rPr>
                <w:rFonts w:eastAsia="Times New Roman" w:cs="Times New Roman"/>
                <w:b/>
                <w:bCs/>
                <w:szCs w:val="20"/>
                <w:lang w:eastAsia="tr-TR"/>
              </w:rPr>
            </w:pPr>
          </w:p>
          <w:p w14:paraId="1672B60D" w14:textId="77777777" w:rsidR="00F942EB" w:rsidRPr="008157BA" w:rsidRDefault="00F942EB" w:rsidP="000A32EF">
            <w:pPr>
              <w:widowControl w:val="0"/>
              <w:autoSpaceDE w:val="0"/>
              <w:autoSpaceDN w:val="0"/>
              <w:adjustRightInd w:val="0"/>
              <w:jc w:val="left"/>
              <w:rPr>
                <w:rFonts w:eastAsia="Times New Roman" w:cs="Times New Roman"/>
                <w:b/>
                <w:bCs/>
                <w:szCs w:val="20"/>
                <w:lang w:eastAsia="tr-TR"/>
              </w:rPr>
            </w:pPr>
          </w:p>
          <w:p w14:paraId="179A3CD2" w14:textId="77777777" w:rsidR="00F942EB" w:rsidRPr="008157BA" w:rsidRDefault="00F942EB" w:rsidP="000A32EF">
            <w:pPr>
              <w:widowControl w:val="0"/>
              <w:autoSpaceDE w:val="0"/>
              <w:autoSpaceDN w:val="0"/>
              <w:adjustRightInd w:val="0"/>
              <w:jc w:val="left"/>
              <w:rPr>
                <w:rFonts w:eastAsia="Times New Roman" w:cs="Times New Roman"/>
                <w:b/>
                <w:bCs/>
                <w:sz w:val="24"/>
                <w:szCs w:val="20"/>
                <w:lang w:eastAsia="tr-TR"/>
              </w:rPr>
            </w:pPr>
            <w:r w:rsidRPr="008157BA">
              <w:rPr>
                <w:rFonts w:eastAsia="Times New Roman" w:cs="Times New Roman"/>
                <w:b/>
                <w:bCs/>
                <w:sz w:val="24"/>
                <w:szCs w:val="20"/>
                <w:lang w:eastAsia="tr-TR"/>
              </w:rPr>
              <w:t xml:space="preserve">To cite this article: </w:t>
            </w:r>
          </w:p>
          <w:p w14:paraId="1B77ACA8" w14:textId="77777777" w:rsidR="004A65CC" w:rsidRDefault="004A65CC" w:rsidP="000A32EF">
            <w:pPr>
              <w:widowControl w:val="0"/>
              <w:rPr>
                <w:rFonts w:eastAsia="Times New Roman" w:cs="Times New Roman"/>
                <w:sz w:val="24"/>
                <w:szCs w:val="20"/>
                <w:lang w:eastAsia="tr-TR"/>
              </w:rPr>
            </w:pPr>
          </w:p>
          <w:p w14:paraId="3538F224" w14:textId="6E8911AB" w:rsidR="00F942EB" w:rsidRPr="008157BA" w:rsidRDefault="008157BA" w:rsidP="000A32EF">
            <w:pPr>
              <w:widowControl w:val="0"/>
              <w:rPr>
                <w:rFonts w:cs="Times New Roman"/>
                <w:bCs/>
                <w:sz w:val="24"/>
                <w:szCs w:val="24"/>
              </w:rPr>
            </w:pPr>
            <w:bookmarkStart w:id="0" w:name="_GoBack"/>
            <w:bookmarkEnd w:id="0"/>
            <w:r w:rsidRPr="008157BA">
              <w:rPr>
                <w:rFonts w:eastAsia="Times New Roman" w:cs="Times New Roman"/>
                <w:sz w:val="24"/>
                <w:szCs w:val="20"/>
                <w:lang w:eastAsia="tr-TR"/>
              </w:rPr>
              <w:t>Taggart, A</w:t>
            </w:r>
            <w:r w:rsidR="009D2197" w:rsidRPr="008157BA">
              <w:rPr>
                <w:rFonts w:eastAsia="Times New Roman" w:cs="Times New Roman"/>
                <w:sz w:val="24"/>
                <w:szCs w:val="20"/>
                <w:lang w:eastAsia="tr-TR"/>
              </w:rPr>
              <w:t xml:space="preserve">. </w:t>
            </w:r>
            <w:r w:rsidR="00F942EB" w:rsidRPr="008157BA">
              <w:rPr>
                <w:rFonts w:eastAsia="Times New Roman" w:cs="Times New Roman"/>
                <w:sz w:val="24"/>
                <w:szCs w:val="20"/>
                <w:lang w:eastAsia="tr-TR"/>
              </w:rPr>
              <w:t>(</w:t>
            </w:r>
            <w:r w:rsidR="000A32EF" w:rsidRPr="008157BA">
              <w:rPr>
                <w:rFonts w:eastAsia="Times New Roman" w:cs="Times New Roman"/>
                <w:sz w:val="24"/>
                <w:szCs w:val="20"/>
                <w:lang w:eastAsia="tr-TR"/>
              </w:rPr>
              <w:t>2024</w:t>
            </w:r>
            <w:r w:rsidR="00F942EB" w:rsidRPr="008157BA">
              <w:rPr>
                <w:rFonts w:eastAsia="Times New Roman" w:cs="Times New Roman"/>
                <w:sz w:val="24"/>
                <w:szCs w:val="20"/>
                <w:lang w:eastAsia="tr-TR"/>
              </w:rPr>
              <w:t xml:space="preserve">). </w:t>
            </w:r>
            <w:r w:rsidRPr="008157BA">
              <w:rPr>
                <w:rFonts w:cs="Times New Roman"/>
                <w:bCs/>
                <w:sz w:val="24"/>
                <w:szCs w:val="24"/>
              </w:rPr>
              <w:t xml:space="preserve">Cultural values as contributors to </w:t>
            </w:r>
            <w:proofErr w:type="spellStart"/>
            <w:r w:rsidRPr="008157BA">
              <w:rPr>
                <w:rFonts w:cs="Times New Roman"/>
                <w:bCs/>
                <w:sz w:val="24"/>
                <w:szCs w:val="24"/>
              </w:rPr>
              <w:t>Latinx</w:t>
            </w:r>
            <w:proofErr w:type="spellEnd"/>
            <w:r w:rsidRPr="008157BA">
              <w:rPr>
                <w:rFonts w:cs="Times New Roman"/>
                <w:bCs/>
                <w:sz w:val="24"/>
                <w:szCs w:val="24"/>
              </w:rPr>
              <w:t xml:space="preserve"> student grades</w:t>
            </w:r>
            <w:r w:rsidR="00F942EB" w:rsidRPr="008157BA">
              <w:rPr>
                <w:rFonts w:eastAsia="Times New Roman" w:cs="Times New Roman"/>
                <w:sz w:val="24"/>
                <w:szCs w:val="20"/>
                <w:lang w:eastAsia="tr-TR"/>
              </w:rPr>
              <w:t xml:space="preserve">. </w:t>
            </w:r>
            <w:r w:rsidR="00F942EB" w:rsidRPr="008157BA">
              <w:rPr>
                <w:rFonts w:eastAsia="Times New Roman" w:cs="Times New Roman"/>
                <w:i/>
                <w:sz w:val="24"/>
                <w:szCs w:val="20"/>
                <w:lang w:eastAsia="tr-TR"/>
              </w:rPr>
              <w:t>International Journal on Studies in Education (</w:t>
            </w:r>
            <w:proofErr w:type="spellStart"/>
            <w:r w:rsidR="00F942EB" w:rsidRPr="008157BA">
              <w:rPr>
                <w:rFonts w:eastAsia="Times New Roman" w:cs="Times New Roman"/>
                <w:i/>
                <w:sz w:val="24"/>
                <w:szCs w:val="20"/>
                <w:lang w:eastAsia="tr-TR"/>
              </w:rPr>
              <w:t>IJonSE</w:t>
            </w:r>
            <w:proofErr w:type="spellEnd"/>
            <w:r w:rsidR="00F942EB" w:rsidRPr="008157BA">
              <w:rPr>
                <w:rFonts w:eastAsia="Times New Roman" w:cs="Times New Roman"/>
                <w:i/>
                <w:sz w:val="24"/>
                <w:szCs w:val="20"/>
                <w:lang w:eastAsia="tr-TR"/>
              </w:rPr>
              <w:t xml:space="preserve">), </w:t>
            </w:r>
            <w:r w:rsidR="000A32EF" w:rsidRPr="008157BA">
              <w:rPr>
                <w:rFonts w:eastAsia="Times New Roman" w:cs="Times New Roman"/>
                <w:i/>
                <w:sz w:val="24"/>
                <w:szCs w:val="20"/>
                <w:lang w:eastAsia="tr-TR"/>
              </w:rPr>
              <w:t>6</w:t>
            </w:r>
            <w:r w:rsidR="00F942EB" w:rsidRPr="008157BA">
              <w:rPr>
                <w:rFonts w:eastAsia="Times New Roman" w:cs="Times New Roman"/>
                <w:sz w:val="24"/>
                <w:szCs w:val="20"/>
                <w:lang w:eastAsia="tr-TR"/>
              </w:rPr>
              <w:t>(</w:t>
            </w:r>
            <w:r w:rsidR="000A32EF" w:rsidRPr="008157BA">
              <w:rPr>
                <w:rFonts w:eastAsia="Times New Roman" w:cs="Times New Roman"/>
                <w:sz w:val="24"/>
                <w:szCs w:val="20"/>
                <w:lang w:eastAsia="tr-TR"/>
              </w:rPr>
              <w:t>1</w:t>
            </w:r>
            <w:r w:rsidR="00F942EB" w:rsidRPr="008157BA">
              <w:rPr>
                <w:rFonts w:eastAsia="Times New Roman" w:cs="Times New Roman"/>
                <w:sz w:val="24"/>
                <w:szCs w:val="20"/>
                <w:lang w:eastAsia="tr-TR"/>
              </w:rPr>
              <w:t xml:space="preserve">), </w:t>
            </w:r>
            <w:r w:rsidRPr="008157BA">
              <w:rPr>
                <w:rFonts w:eastAsia="Times New Roman" w:cs="Times New Roman"/>
                <w:sz w:val="24"/>
                <w:szCs w:val="20"/>
                <w:lang w:eastAsia="tr-TR"/>
              </w:rPr>
              <w:t>109</w:t>
            </w:r>
            <w:r w:rsidR="00F942EB" w:rsidRPr="008157BA">
              <w:rPr>
                <w:rFonts w:eastAsia="Times New Roman" w:cs="Times New Roman"/>
                <w:sz w:val="24"/>
                <w:szCs w:val="20"/>
                <w:lang w:eastAsia="tr-TR"/>
              </w:rPr>
              <w:t>-</w:t>
            </w:r>
            <w:r w:rsidRPr="008157BA">
              <w:rPr>
                <w:rFonts w:eastAsia="Times New Roman" w:cs="Times New Roman"/>
                <w:sz w:val="24"/>
                <w:szCs w:val="20"/>
                <w:lang w:eastAsia="tr-TR"/>
              </w:rPr>
              <w:t>12</w:t>
            </w:r>
            <w:r>
              <w:rPr>
                <w:rFonts w:eastAsia="Times New Roman" w:cs="Times New Roman"/>
                <w:sz w:val="24"/>
                <w:szCs w:val="20"/>
                <w:lang w:eastAsia="tr-TR"/>
              </w:rPr>
              <w:t>5</w:t>
            </w:r>
            <w:r w:rsidR="00F942EB" w:rsidRPr="008157BA">
              <w:rPr>
                <w:rFonts w:eastAsia="Times New Roman" w:cs="Times New Roman"/>
                <w:sz w:val="24"/>
                <w:szCs w:val="20"/>
                <w:lang w:eastAsia="tr-TR"/>
              </w:rPr>
              <w:t>.</w:t>
            </w:r>
            <w:r w:rsidR="00BB41A1" w:rsidRPr="008157BA">
              <w:rPr>
                <w:rFonts w:eastAsia="Times New Roman" w:cs="Times New Roman"/>
                <w:sz w:val="24"/>
                <w:szCs w:val="20"/>
                <w:lang w:eastAsia="tr-TR"/>
              </w:rPr>
              <w:t xml:space="preserve"> </w:t>
            </w:r>
            <w:r w:rsidR="004310BC" w:rsidRPr="008157BA">
              <w:rPr>
                <w:rFonts w:eastAsia="Times New Roman" w:cs="Times New Roman"/>
                <w:sz w:val="24"/>
                <w:szCs w:val="20"/>
                <w:lang w:eastAsia="tr-TR"/>
              </w:rPr>
              <w:t>https://doi.org/10.46328/ijonse.</w:t>
            </w:r>
            <w:r w:rsidRPr="008157BA">
              <w:rPr>
                <w:rFonts w:eastAsia="Times New Roman" w:cs="Times New Roman"/>
                <w:sz w:val="24"/>
                <w:szCs w:val="20"/>
                <w:lang w:eastAsia="tr-TR"/>
              </w:rPr>
              <w:t>197</w:t>
            </w:r>
          </w:p>
          <w:p w14:paraId="24F0E4D1" w14:textId="77777777" w:rsidR="00F942EB" w:rsidRPr="008157BA" w:rsidRDefault="00F942EB" w:rsidP="000A32EF">
            <w:pPr>
              <w:widowControl w:val="0"/>
              <w:autoSpaceDE w:val="0"/>
              <w:autoSpaceDN w:val="0"/>
              <w:adjustRightInd w:val="0"/>
              <w:jc w:val="left"/>
              <w:rPr>
                <w:rFonts w:eastAsia="Times New Roman" w:cs="Times New Roman"/>
                <w:szCs w:val="20"/>
                <w:lang w:eastAsia="tr-TR"/>
              </w:rPr>
            </w:pPr>
          </w:p>
          <w:p w14:paraId="49BEDC7A" w14:textId="77777777" w:rsidR="00F942EB" w:rsidRPr="008157BA" w:rsidRDefault="00F942EB" w:rsidP="000A32EF">
            <w:pPr>
              <w:widowControl w:val="0"/>
              <w:autoSpaceDE w:val="0"/>
              <w:autoSpaceDN w:val="0"/>
              <w:adjustRightInd w:val="0"/>
              <w:jc w:val="left"/>
              <w:rPr>
                <w:rFonts w:eastAsia="Times New Roman" w:cs="Times New Roman"/>
                <w:szCs w:val="20"/>
                <w:lang w:eastAsia="tr-TR"/>
              </w:rPr>
            </w:pPr>
          </w:p>
          <w:p w14:paraId="3A1D004C" w14:textId="77777777" w:rsidR="00F942EB" w:rsidRPr="008157BA" w:rsidRDefault="00F942EB" w:rsidP="000A32EF">
            <w:pPr>
              <w:widowControl w:val="0"/>
              <w:autoSpaceDE w:val="0"/>
              <w:autoSpaceDN w:val="0"/>
              <w:adjustRightInd w:val="0"/>
              <w:jc w:val="left"/>
              <w:rPr>
                <w:rFonts w:eastAsia="Times New Roman" w:cs="Times New Roman"/>
                <w:szCs w:val="20"/>
                <w:lang w:eastAsia="tr-TR"/>
              </w:rPr>
            </w:pPr>
          </w:p>
          <w:p w14:paraId="05A1447F" w14:textId="77777777" w:rsidR="00F942EB" w:rsidRPr="008157BA" w:rsidRDefault="00F942EB" w:rsidP="000A32EF">
            <w:pPr>
              <w:widowControl w:val="0"/>
              <w:autoSpaceDE w:val="0"/>
              <w:autoSpaceDN w:val="0"/>
              <w:adjustRightInd w:val="0"/>
              <w:jc w:val="left"/>
              <w:rPr>
                <w:rFonts w:eastAsia="Times New Roman" w:cs="Times New Roman"/>
                <w:szCs w:val="20"/>
                <w:lang w:eastAsia="tr-TR"/>
              </w:rPr>
            </w:pPr>
          </w:p>
          <w:p w14:paraId="16CD6A4C" w14:textId="77777777" w:rsidR="00F942EB" w:rsidRPr="008157BA" w:rsidRDefault="00F942EB" w:rsidP="000A32EF">
            <w:pPr>
              <w:widowControl w:val="0"/>
              <w:autoSpaceDE w:val="0"/>
              <w:autoSpaceDN w:val="0"/>
              <w:adjustRightInd w:val="0"/>
              <w:jc w:val="left"/>
              <w:rPr>
                <w:rFonts w:eastAsia="Times New Roman" w:cs="Times New Roman"/>
                <w:szCs w:val="20"/>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F942EB" w:rsidRPr="008157BA" w14:paraId="7C4E680C" w14:textId="77777777" w:rsidTr="00F942EB">
              <w:trPr>
                <w:jc w:val="center"/>
              </w:trPr>
              <w:tc>
                <w:tcPr>
                  <w:tcW w:w="8934" w:type="dxa"/>
                  <w:shd w:val="clear" w:color="auto" w:fill="auto"/>
                </w:tcPr>
                <w:p w14:paraId="4886F413" w14:textId="66A3A47F" w:rsidR="00F942EB" w:rsidRPr="008157BA" w:rsidRDefault="00F942EB" w:rsidP="000A32EF">
                  <w:pPr>
                    <w:widowControl w:val="0"/>
                    <w:autoSpaceDE w:val="0"/>
                    <w:autoSpaceDN w:val="0"/>
                    <w:adjustRightInd w:val="0"/>
                    <w:rPr>
                      <w:rFonts w:cs="Times New Roman"/>
                      <w:szCs w:val="20"/>
                    </w:rPr>
                  </w:pPr>
                  <w:r w:rsidRPr="008157BA">
                    <w:rPr>
                      <w:rFonts w:cs="Times New Roman"/>
                      <w:szCs w:val="20"/>
                    </w:rPr>
                    <w:t>International Journal on Studies in Education (</w:t>
                  </w:r>
                  <w:proofErr w:type="spellStart"/>
                  <w:r w:rsidRPr="008157BA">
                    <w:rPr>
                      <w:rFonts w:cs="Times New Roman"/>
                      <w:szCs w:val="20"/>
                    </w:rPr>
                    <w:t>IJonSE</w:t>
                  </w:r>
                  <w:proofErr w:type="spellEnd"/>
                  <w:r w:rsidRPr="008157BA">
                    <w:rPr>
                      <w:rFonts w:cs="Times New Roman"/>
                      <w:szCs w:val="20"/>
                    </w:rPr>
                    <w:t xml:space="preserve">) is a peer-reviewed scholarly online journal. This article </w:t>
                  </w:r>
                  <w:proofErr w:type="gramStart"/>
                  <w:r w:rsidRPr="008157BA">
                    <w:rPr>
                      <w:rFonts w:cs="Times New Roman"/>
                      <w:szCs w:val="20"/>
                    </w:rPr>
                    <w:t>may be used</w:t>
                  </w:r>
                  <w:proofErr w:type="gramEnd"/>
                  <w:r w:rsidRPr="008157BA">
                    <w:rPr>
                      <w:rFonts w:cs="Times New Roman"/>
                      <w:szCs w:val="20"/>
                    </w:rPr>
                    <w:t xml:space="preserve"> for research, teaching, and private study purposes. Authors alone are responsible for the contents of their articles. The journal owns the copyright of the articles. The publisher shall not be liable for any loss, actions, claims, proceedings, demand, or costs or damages whatsoever or howsoever caused arising directly or indirectly in connection with or arising out of the use of the research material. All authors </w:t>
                  </w:r>
                  <w:proofErr w:type="gramStart"/>
                  <w:r w:rsidRPr="008157BA">
                    <w:rPr>
                      <w:rFonts w:cs="Times New Roman"/>
                      <w:szCs w:val="20"/>
                    </w:rPr>
                    <w:t>are requested</w:t>
                  </w:r>
                  <w:proofErr w:type="gramEnd"/>
                  <w:r w:rsidRPr="008157BA">
                    <w:rPr>
                      <w:rFonts w:cs="Times New Roman"/>
                      <w:szCs w:val="20"/>
                    </w:rPr>
                    <w:t xml:space="preserve"> to disclose any actual or potential conflict of interest including any financial, personal or other relationships with other people or organizations regarding the submitted work.</w:t>
                  </w:r>
                </w:p>
              </w:tc>
            </w:tr>
          </w:tbl>
          <w:p w14:paraId="1399C84D" w14:textId="77777777" w:rsidR="00F942EB" w:rsidRPr="008157BA" w:rsidRDefault="00F942EB" w:rsidP="000A32EF">
            <w:pPr>
              <w:widowControl w:val="0"/>
              <w:rPr>
                <w:rFonts w:cs="Times New Roman"/>
              </w:rPr>
            </w:pPr>
          </w:p>
          <w:tbl>
            <w:tblPr>
              <w:tblW w:w="0" w:type="auto"/>
              <w:jc w:val="center"/>
              <w:tblLook w:val="04A0" w:firstRow="1" w:lastRow="0" w:firstColumn="1" w:lastColumn="0" w:noHBand="0" w:noVBand="1"/>
            </w:tblPr>
            <w:tblGrid>
              <w:gridCol w:w="8934"/>
            </w:tblGrid>
            <w:tr w:rsidR="00F942EB" w:rsidRPr="008157BA" w14:paraId="2F520A9B" w14:textId="77777777" w:rsidTr="00F942EB">
              <w:trPr>
                <w:jc w:val="center"/>
              </w:trPr>
              <w:tc>
                <w:tcPr>
                  <w:tcW w:w="8934" w:type="dxa"/>
                  <w:vAlign w:val="center"/>
                </w:tcPr>
                <w:p w14:paraId="0DA5DE69" w14:textId="77777777" w:rsidR="00F942EB" w:rsidRPr="008157BA" w:rsidRDefault="00F942EB" w:rsidP="000A32EF">
                  <w:pPr>
                    <w:widowControl w:val="0"/>
                    <w:jc w:val="center"/>
                    <w:rPr>
                      <w:rFonts w:cs="Times New Roman"/>
                    </w:rPr>
                  </w:pPr>
                  <w:r w:rsidRPr="008157BA">
                    <w:rPr>
                      <w:rFonts w:cs="Times New Roman"/>
                      <w:noProof/>
                      <w:lang w:eastAsia="en-US"/>
                    </w:rPr>
                    <w:drawing>
                      <wp:inline distT="0" distB="0" distL="0" distR="0" wp14:anchorId="796DB971" wp14:editId="01701BCA">
                        <wp:extent cx="576000" cy="202908"/>
                        <wp:effectExtent l="0" t="0" r="0" b="6985"/>
                        <wp:docPr id="2" name="Resim 2"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sans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 cy="202908"/>
                                </a:xfrm>
                                <a:prstGeom prst="rect">
                                  <a:avLst/>
                                </a:prstGeom>
                                <a:noFill/>
                                <a:ln>
                                  <a:noFill/>
                                </a:ln>
                              </pic:spPr>
                            </pic:pic>
                          </a:graphicData>
                        </a:graphic>
                      </wp:inline>
                    </w:drawing>
                  </w:r>
                  <w:r w:rsidRPr="008157BA">
                    <w:rPr>
                      <w:rFonts w:cs="Times New Roman"/>
                      <w:sz w:val="16"/>
                      <w:szCs w:val="16"/>
                    </w:rPr>
                    <w:t xml:space="preserve"> This work </w:t>
                  </w:r>
                  <w:proofErr w:type="gramStart"/>
                  <w:r w:rsidRPr="008157BA">
                    <w:rPr>
                      <w:rFonts w:cs="Times New Roman"/>
                      <w:sz w:val="16"/>
                      <w:szCs w:val="16"/>
                    </w:rPr>
                    <w:t>is licensed</w:t>
                  </w:r>
                  <w:proofErr w:type="gramEnd"/>
                  <w:r w:rsidRPr="008157BA">
                    <w:rPr>
                      <w:rFonts w:cs="Times New Roman"/>
                      <w:sz w:val="16"/>
                      <w:szCs w:val="16"/>
                    </w:rPr>
                    <w:t xml:space="preserve"> under a Creative Commons Attribution-</w:t>
                  </w:r>
                  <w:proofErr w:type="spellStart"/>
                  <w:r w:rsidRPr="008157BA">
                    <w:rPr>
                      <w:rFonts w:cs="Times New Roman"/>
                      <w:sz w:val="16"/>
                      <w:szCs w:val="16"/>
                    </w:rPr>
                    <w:t>NonCommercial</w:t>
                  </w:r>
                  <w:proofErr w:type="spellEnd"/>
                  <w:r w:rsidRPr="008157BA">
                    <w:rPr>
                      <w:rFonts w:cs="Times New Roman"/>
                      <w:sz w:val="16"/>
                      <w:szCs w:val="16"/>
                    </w:rPr>
                    <w:t>-</w:t>
                  </w:r>
                  <w:proofErr w:type="spellStart"/>
                  <w:r w:rsidRPr="008157BA">
                    <w:rPr>
                      <w:rFonts w:cs="Times New Roman"/>
                      <w:sz w:val="16"/>
                      <w:szCs w:val="16"/>
                    </w:rPr>
                    <w:t>ShareAlike</w:t>
                  </w:r>
                  <w:proofErr w:type="spellEnd"/>
                  <w:r w:rsidRPr="008157BA">
                    <w:rPr>
                      <w:rFonts w:cs="Times New Roman"/>
                      <w:sz w:val="16"/>
                      <w:szCs w:val="16"/>
                    </w:rPr>
                    <w:t xml:space="preserve"> 4.0 International License.</w:t>
                  </w:r>
                </w:p>
              </w:tc>
            </w:tr>
          </w:tbl>
          <w:p w14:paraId="34AC7ADF" w14:textId="1C0554FA" w:rsidR="00F942EB" w:rsidRPr="008157BA" w:rsidRDefault="00F942EB" w:rsidP="000A32EF">
            <w:pPr>
              <w:widowControl w:val="0"/>
              <w:rPr>
                <w:rFonts w:cs="Times New Roman"/>
              </w:rPr>
            </w:pPr>
          </w:p>
        </w:tc>
      </w:tr>
    </w:tbl>
    <w:p w14:paraId="115851F2" w14:textId="77777777" w:rsidR="00B53264" w:rsidRPr="008157BA" w:rsidRDefault="00B53264" w:rsidP="000A32EF">
      <w:pPr>
        <w:widowControl w:val="0"/>
        <w:spacing w:line="360" w:lineRule="auto"/>
        <w:rPr>
          <w:rFonts w:cs="Times New Roman"/>
          <w:sz w:val="28"/>
        </w:rPr>
        <w:sectPr w:rsidR="00B53264" w:rsidRPr="008157BA" w:rsidSect="00B53264">
          <w:headerReference w:type="even" r:id="rId12"/>
          <w:headerReference w:type="default" r:id="rId13"/>
          <w:footerReference w:type="even" r:id="rId14"/>
          <w:footerReference w:type="default" r:id="rId15"/>
          <w:headerReference w:type="first" r:id="rId16"/>
          <w:footnotePr>
            <w:numFmt w:val="chicago"/>
          </w:footnotePr>
          <w:pgSz w:w="11905" w:h="16837" w:code="9"/>
          <w:pgMar w:top="1440" w:right="1440" w:bottom="1440" w:left="1440" w:header="709" w:footer="709" w:gutter="0"/>
          <w:cols w:space="708"/>
          <w:titlePg/>
          <w:docGrid w:linePitch="360"/>
        </w:sectPr>
      </w:pPr>
    </w:p>
    <w:p w14:paraId="4E1F56F7" w14:textId="6C293F31" w:rsidR="008157BA" w:rsidRPr="008157BA" w:rsidRDefault="00BB41A1" w:rsidP="008157BA">
      <w:pPr>
        <w:pStyle w:val="GvdeMetni31"/>
        <w:widowControl w:val="0"/>
        <w:spacing w:line="360" w:lineRule="auto"/>
        <w:rPr>
          <w:rFonts w:ascii="Times New Roman" w:hAnsi="Times New Roman" w:cs="Times New Roman"/>
          <w:sz w:val="28"/>
          <w:szCs w:val="28"/>
        </w:rPr>
      </w:pPr>
      <w:r w:rsidRPr="008157BA">
        <w:rPr>
          <w:rFonts w:ascii="Times New Roman" w:hAnsi="Times New Roman" w:cs="Times New Roman"/>
          <w:sz w:val="28"/>
        </w:rPr>
        <w:lastRenderedPageBreak/>
        <w:t xml:space="preserve"> </w:t>
      </w:r>
      <w:r w:rsidR="008157BA" w:rsidRPr="008157BA">
        <w:rPr>
          <w:rFonts w:ascii="Times New Roman" w:hAnsi="Times New Roman" w:cs="Times New Roman"/>
          <w:sz w:val="28"/>
          <w:szCs w:val="28"/>
        </w:rPr>
        <w:t xml:space="preserve">Cultural Values as Contributors to </w:t>
      </w:r>
      <w:proofErr w:type="spellStart"/>
      <w:r w:rsidR="008157BA" w:rsidRPr="008157BA">
        <w:rPr>
          <w:rFonts w:ascii="Times New Roman" w:hAnsi="Times New Roman" w:cs="Times New Roman"/>
          <w:sz w:val="28"/>
          <w:szCs w:val="28"/>
        </w:rPr>
        <w:t>Latinx</w:t>
      </w:r>
      <w:proofErr w:type="spellEnd"/>
      <w:r w:rsidR="008157BA" w:rsidRPr="008157BA">
        <w:rPr>
          <w:rFonts w:ascii="Times New Roman" w:hAnsi="Times New Roman" w:cs="Times New Roman"/>
          <w:sz w:val="28"/>
          <w:szCs w:val="28"/>
        </w:rPr>
        <w:t xml:space="preserve"> Student Grades</w:t>
      </w:r>
    </w:p>
    <w:p w14:paraId="23582324" w14:textId="77777777" w:rsidR="008157BA" w:rsidRPr="008157BA" w:rsidRDefault="008157BA" w:rsidP="008157BA">
      <w:pPr>
        <w:widowControl w:val="0"/>
        <w:spacing w:line="360" w:lineRule="auto"/>
        <w:jc w:val="center"/>
        <w:rPr>
          <w:rFonts w:cs="Times New Roman"/>
          <w:b/>
          <w:szCs w:val="20"/>
        </w:rPr>
      </w:pPr>
    </w:p>
    <w:p w14:paraId="0748D4A7" w14:textId="77777777" w:rsidR="008157BA" w:rsidRPr="008157BA" w:rsidRDefault="008157BA" w:rsidP="008157BA">
      <w:pPr>
        <w:widowControl w:val="0"/>
        <w:spacing w:line="360" w:lineRule="auto"/>
        <w:jc w:val="center"/>
        <w:rPr>
          <w:rFonts w:cs="Times New Roman"/>
          <w:b/>
          <w:szCs w:val="20"/>
          <w:vertAlign w:val="superscript"/>
        </w:rPr>
      </w:pPr>
      <w:r w:rsidRPr="008157BA">
        <w:rPr>
          <w:rFonts w:cs="Times New Roman"/>
          <w:b/>
          <w:szCs w:val="20"/>
        </w:rPr>
        <w:t>Amanda Taggart</w:t>
      </w:r>
    </w:p>
    <w:p w14:paraId="1012C378" w14:textId="77777777" w:rsidR="008157BA" w:rsidRPr="008157BA" w:rsidRDefault="008157BA" w:rsidP="008157BA">
      <w:pPr>
        <w:widowControl w:val="0"/>
        <w:spacing w:line="360" w:lineRule="auto"/>
        <w:rPr>
          <w:rFonts w:cs="Times New Roman"/>
          <w:b/>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8157BA" w:rsidRPr="008157BA" w14:paraId="6FDE292D" w14:textId="77777777" w:rsidTr="00B43A32">
        <w:trPr>
          <w:trHeight w:val="203"/>
          <w:jc w:val="center"/>
        </w:trPr>
        <w:tc>
          <w:tcPr>
            <w:tcW w:w="2093" w:type="dxa"/>
            <w:tcBorders>
              <w:bottom w:val="single" w:sz="4" w:space="0" w:color="auto"/>
            </w:tcBorders>
            <w:shd w:val="clear" w:color="auto" w:fill="auto"/>
            <w:vAlign w:val="center"/>
          </w:tcPr>
          <w:p w14:paraId="3AE179EF" w14:textId="77777777" w:rsidR="008157BA" w:rsidRPr="008157BA" w:rsidRDefault="008157BA" w:rsidP="00B43A32">
            <w:pPr>
              <w:widowControl w:val="0"/>
              <w:spacing w:line="360" w:lineRule="auto"/>
              <w:rPr>
                <w:rFonts w:cs="Times New Roman"/>
                <w:b/>
                <w:sz w:val="24"/>
                <w:szCs w:val="24"/>
              </w:rPr>
            </w:pPr>
            <w:r w:rsidRPr="008157BA">
              <w:rPr>
                <w:rFonts w:cs="Times New Roman"/>
                <w:b/>
                <w:sz w:val="24"/>
                <w:szCs w:val="24"/>
              </w:rPr>
              <w:t>Article Info</w:t>
            </w:r>
          </w:p>
        </w:tc>
        <w:tc>
          <w:tcPr>
            <w:tcW w:w="425" w:type="dxa"/>
            <w:vAlign w:val="center"/>
          </w:tcPr>
          <w:p w14:paraId="770F8729" w14:textId="77777777" w:rsidR="008157BA" w:rsidRPr="008157BA" w:rsidRDefault="008157BA" w:rsidP="00B43A32">
            <w:pPr>
              <w:widowControl w:val="0"/>
              <w:spacing w:line="360" w:lineRule="auto"/>
              <w:ind w:left="-54"/>
              <w:rPr>
                <w:rFonts w:cs="Times New Roman"/>
                <w:b/>
                <w:sz w:val="24"/>
                <w:szCs w:val="24"/>
              </w:rPr>
            </w:pPr>
          </w:p>
        </w:tc>
        <w:tc>
          <w:tcPr>
            <w:tcW w:w="6723" w:type="dxa"/>
            <w:tcBorders>
              <w:bottom w:val="single" w:sz="4" w:space="0" w:color="auto"/>
            </w:tcBorders>
            <w:shd w:val="clear" w:color="auto" w:fill="auto"/>
            <w:vAlign w:val="center"/>
          </w:tcPr>
          <w:p w14:paraId="29C118B9" w14:textId="77777777" w:rsidR="008157BA" w:rsidRPr="008157BA" w:rsidRDefault="008157BA" w:rsidP="00B43A32">
            <w:pPr>
              <w:widowControl w:val="0"/>
              <w:spacing w:line="360" w:lineRule="auto"/>
              <w:ind w:left="-15"/>
              <w:rPr>
                <w:rFonts w:cs="Times New Roman"/>
                <w:b/>
                <w:sz w:val="24"/>
                <w:szCs w:val="24"/>
              </w:rPr>
            </w:pPr>
            <w:r w:rsidRPr="008157BA">
              <w:rPr>
                <w:rFonts w:cs="Times New Roman"/>
                <w:b/>
                <w:sz w:val="24"/>
                <w:szCs w:val="24"/>
              </w:rPr>
              <w:t>Abstract</w:t>
            </w:r>
          </w:p>
        </w:tc>
      </w:tr>
      <w:tr w:rsidR="008157BA" w:rsidRPr="008157BA" w14:paraId="2D0FB642" w14:textId="77777777" w:rsidTr="00B43A32">
        <w:trPr>
          <w:trHeight w:val="2300"/>
          <w:jc w:val="center"/>
        </w:trPr>
        <w:tc>
          <w:tcPr>
            <w:tcW w:w="2093" w:type="dxa"/>
            <w:tcBorders>
              <w:top w:val="single" w:sz="4" w:space="0" w:color="auto"/>
            </w:tcBorders>
            <w:shd w:val="clear" w:color="auto" w:fill="auto"/>
          </w:tcPr>
          <w:p w14:paraId="38DE977D" w14:textId="77777777" w:rsidR="008157BA" w:rsidRPr="008157BA" w:rsidRDefault="008157BA" w:rsidP="00B43A32">
            <w:pPr>
              <w:widowControl w:val="0"/>
              <w:spacing w:line="360" w:lineRule="auto"/>
              <w:rPr>
                <w:rFonts w:cs="Times New Roman"/>
                <w:b/>
                <w:i/>
                <w:szCs w:val="20"/>
              </w:rPr>
            </w:pPr>
            <w:r w:rsidRPr="008157BA">
              <w:rPr>
                <w:rFonts w:cs="Times New Roman"/>
                <w:b/>
                <w:i/>
                <w:szCs w:val="20"/>
              </w:rPr>
              <w:t>Article History</w:t>
            </w:r>
          </w:p>
          <w:p w14:paraId="4E665EDE" w14:textId="77777777" w:rsidR="008157BA" w:rsidRPr="008157BA" w:rsidRDefault="008157BA" w:rsidP="00B43A32">
            <w:pPr>
              <w:widowControl w:val="0"/>
              <w:spacing w:line="360" w:lineRule="auto"/>
              <w:rPr>
                <w:rFonts w:cs="Times New Roman"/>
                <w:sz w:val="16"/>
                <w:szCs w:val="16"/>
              </w:rPr>
            </w:pPr>
            <w:r w:rsidRPr="008157BA">
              <w:rPr>
                <w:rFonts w:cs="Times New Roman"/>
                <w:sz w:val="16"/>
                <w:szCs w:val="16"/>
              </w:rPr>
              <w:t>Received:</w:t>
            </w:r>
          </w:p>
          <w:p w14:paraId="485236ED" w14:textId="7B8333A7" w:rsidR="008157BA" w:rsidRPr="008157BA" w:rsidRDefault="008157BA" w:rsidP="00B43A32">
            <w:pPr>
              <w:widowControl w:val="0"/>
              <w:spacing w:line="360" w:lineRule="auto"/>
              <w:jc w:val="left"/>
              <w:rPr>
                <w:rFonts w:cs="Times New Roman"/>
                <w:sz w:val="16"/>
                <w:szCs w:val="16"/>
              </w:rPr>
            </w:pPr>
            <w:r w:rsidRPr="008157BA">
              <w:rPr>
                <w:rFonts w:cs="Times New Roman"/>
                <w:sz w:val="16"/>
                <w:szCs w:val="16"/>
              </w:rPr>
              <w:t>05 July 2023</w:t>
            </w:r>
          </w:p>
          <w:p w14:paraId="1511F87E" w14:textId="77777777" w:rsidR="008157BA" w:rsidRPr="008157BA" w:rsidRDefault="008157BA" w:rsidP="00B43A32">
            <w:pPr>
              <w:widowControl w:val="0"/>
              <w:spacing w:line="360" w:lineRule="auto"/>
              <w:rPr>
                <w:rFonts w:cs="Times New Roman"/>
                <w:sz w:val="16"/>
                <w:szCs w:val="16"/>
              </w:rPr>
            </w:pPr>
            <w:r w:rsidRPr="008157BA">
              <w:rPr>
                <w:rFonts w:cs="Times New Roman"/>
                <w:sz w:val="16"/>
                <w:szCs w:val="16"/>
              </w:rPr>
              <w:t>Accepted:</w:t>
            </w:r>
          </w:p>
          <w:p w14:paraId="6D76BDCE" w14:textId="454CDDCD" w:rsidR="008157BA" w:rsidRPr="008157BA" w:rsidRDefault="008157BA" w:rsidP="00B43A32">
            <w:pPr>
              <w:widowControl w:val="0"/>
              <w:spacing w:line="360" w:lineRule="auto"/>
              <w:jc w:val="left"/>
              <w:rPr>
                <w:rFonts w:cs="Times New Roman"/>
                <w:sz w:val="16"/>
                <w:szCs w:val="16"/>
              </w:rPr>
            </w:pPr>
            <w:r w:rsidRPr="008157BA">
              <w:rPr>
                <w:rFonts w:cs="Times New Roman"/>
                <w:sz w:val="16"/>
                <w:szCs w:val="16"/>
              </w:rPr>
              <w:t>20 November 2023</w:t>
            </w:r>
          </w:p>
          <w:p w14:paraId="7F5C8556" w14:textId="77777777" w:rsidR="008157BA" w:rsidRPr="008157BA" w:rsidRDefault="008157BA" w:rsidP="00B43A32">
            <w:pPr>
              <w:widowControl w:val="0"/>
              <w:spacing w:line="360" w:lineRule="auto"/>
              <w:rPr>
                <w:rFonts w:cs="Times New Roman"/>
                <w:sz w:val="16"/>
                <w:szCs w:val="16"/>
              </w:rPr>
            </w:pPr>
          </w:p>
        </w:tc>
        <w:tc>
          <w:tcPr>
            <w:tcW w:w="425" w:type="dxa"/>
          </w:tcPr>
          <w:p w14:paraId="1B743E0A" w14:textId="77777777" w:rsidR="008157BA" w:rsidRPr="008157BA" w:rsidRDefault="008157BA" w:rsidP="00B43A32">
            <w:pPr>
              <w:widowControl w:val="0"/>
              <w:spacing w:line="360" w:lineRule="auto"/>
              <w:ind w:left="-54"/>
              <w:rPr>
                <w:rFonts w:cs="Times New Roman"/>
                <w:szCs w:val="20"/>
              </w:rPr>
            </w:pPr>
          </w:p>
        </w:tc>
        <w:tc>
          <w:tcPr>
            <w:tcW w:w="6723" w:type="dxa"/>
            <w:vMerge w:val="restart"/>
            <w:tcBorders>
              <w:top w:val="single" w:sz="4" w:space="0" w:color="auto"/>
              <w:bottom w:val="single" w:sz="4" w:space="0" w:color="auto"/>
            </w:tcBorders>
            <w:shd w:val="clear" w:color="auto" w:fill="auto"/>
          </w:tcPr>
          <w:p w14:paraId="557CBA9B" w14:textId="77777777" w:rsidR="008157BA" w:rsidRPr="008157BA" w:rsidRDefault="008157BA" w:rsidP="00B43A32">
            <w:pPr>
              <w:widowControl w:val="0"/>
              <w:spacing w:line="360" w:lineRule="auto"/>
              <w:ind w:left="-15"/>
              <w:rPr>
                <w:rFonts w:cs="Times New Roman"/>
                <w:szCs w:val="20"/>
              </w:rPr>
            </w:pPr>
            <w:r w:rsidRPr="008157BA">
              <w:rPr>
                <w:rFonts w:cs="Times New Roman"/>
                <w:szCs w:val="20"/>
              </w:rPr>
              <w:t xml:space="preserve">Cultural discontinuity, or the misalignment of learning processes based on cultural values practiced at home and at school, is one factor that </w:t>
            </w:r>
            <w:proofErr w:type="gramStart"/>
            <w:r w:rsidRPr="008157BA">
              <w:rPr>
                <w:rFonts w:cs="Times New Roman"/>
                <w:szCs w:val="20"/>
              </w:rPr>
              <w:t>has been explored</w:t>
            </w:r>
            <w:proofErr w:type="gramEnd"/>
            <w:r w:rsidRPr="008157BA">
              <w:rPr>
                <w:rFonts w:cs="Times New Roman"/>
                <w:szCs w:val="20"/>
              </w:rPr>
              <w:t xml:space="preserve"> in the educational experiences of racial/ethnic minority students. The purpose of the current quantitative study was to examine the influence of cultural discontinuity between </w:t>
            </w:r>
            <w:proofErr w:type="spellStart"/>
            <w:r w:rsidRPr="008157BA">
              <w:rPr>
                <w:rFonts w:cs="Times New Roman"/>
                <w:szCs w:val="20"/>
              </w:rPr>
              <w:t>Latinx</w:t>
            </w:r>
            <w:proofErr w:type="spellEnd"/>
            <w:r w:rsidRPr="008157BA">
              <w:rPr>
                <w:rFonts w:cs="Times New Roman"/>
                <w:szCs w:val="20"/>
              </w:rPr>
              <w:t xml:space="preserve"> and Eurocentric cultural values on the grades of </w:t>
            </w:r>
            <w:proofErr w:type="spellStart"/>
            <w:r w:rsidRPr="008157BA">
              <w:rPr>
                <w:rFonts w:cs="Times New Roman"/>
                <w:szCs w:val="20"/>
              </w:rPr>
              <w:t>Latinx</w:t>
            </w:r>
            <w:proofErr w:type="spellEnd"/>
            <w:r w:rsidRPr="008157BA">
              <w:rPr>
                <w:rFonts w:cs="Times New Roman"/>
                <w:szCs w:val="20"/>
              </w:rPr>
              <w:t xml:space="preserve"> high school students. The conceptual framework for this study </w:t>
            </w:r>
            <w:proofErr w:type="gramStart"/>
            <w:r w:rsidRPr="008157BA">
              <w:rPr>
                <w:rFonts w:cs="Times New Roman"/>
                <w:szCs w:val="20"/>
              </w:rPr>
              <w:t>was developed</w:t>
            </w:r>
            <w:proofErr w:type="gramEnd"/>
            <w:r w:rsidRPr="008157BA">
              <w:rPr>
                <w:rFonts w:cs="Times New Roman"/>
                <w:szCs w:val="20"/>
              </w:rPr>
              <w:t xml:space="preserve"> from relevant literature. The model theorizes that </w:t>
            </w:r>
            <w:proofErr w:type="spellStart"/>
            <w:r w:rsidRPr="008157BA">
              <w:rPr>
                <w:rFonts w:cs="Times New Roman"/>
                <w:szCs w:val="20"/>
              </w:rPr>
              <w:t>Latinx</w:t>
            </w:r>
            <w:proofErr w:type="spellEnd"/>
            <w:r w:rsidRPr="008157BA">
              <w:rPr>
                <w:rFonts w:cs="Times New Roman"/>
                <w:szCs w:val="20"/>
              </w:rPr>
              <w:t xml:space="preserve"> students’ grades </w:t>
            </w:r>
            <w:proofErr w:type="gramStart"/>
            <w:r w:rsidRPr="008157BA">
              <w:rPr>
                <w:rFonts w:cs="Times New Roman"/>
                <w:szCs w:val="20"/>
              </w:rPr>
              <w:t>are influenced</w:t>
            </w:r>
            <w:proofErr w:type="gramEnd"/>
            <w:r w:rsidRPr="008157BA">
              <w:rPr>
                <w:rFonts w:cs="Times New Roman"/>
                <w:szCs w:val="20"/>
              </w:rPr>
              <w:t xml:space="preserve"> by socio-demographic variables, academic experiences, and cultural discontinuity. Participants were 334 </w:t>
            </w:r>
            <w:proofErr w:type="spellStart"/>
            <w:r w:rsidRPr="008157BA">
              <w:rPr>
                <w:rFonts w:cs="Times New Roman"/>
                <w:szCs w:val="20"/>
              </w:rPr>
              <w:t>Latinx</w:t>
            </w:r>
            <w:proofErr w:type="spellEnd"/>
            <w:r w:rsidRPr="008157BA">
              <w:rPr>
                <w:rFonts w:cs="Times New Roman"/>
                <w:szCs w:val="20"/>
              </w:rPr>
              <w:t xml:space="preserve"> students recruited from three high schools in the U.S. Southwest. Data </w:t>
            </w:r>
            <w:proofErr w:type="gramStart"/>
            <w:r w:rsidRPr="008157BA">
              <w:rPr>
                <w:rFonts w:cs="Times New Roman"/>
                <w:szCs w:val="20"/>
              </w:rPr>
              <w:t>was collected</w:t>
            </w:r>
            <w:proofErr w:type="gramEnd"/>
            <w:r w:rsidRPr="008157BA">
              <w:rPr>
                <w:rFonts w:cs="Times New Roman"/>
                <w:szCs w:val="20"/>
              </w:rPr>
              <w:t xml:space="preserve"> via a self-administered questionnaire and student transcripts. Hierarchical multiple regression </w:t>
            </w:r>
            <w:proofErr w:type="gramStart"/>
            <w:r w:rsidRPr="008157BA">
              <w:rPr>
                <w:rFonts w:cs="Times New Roman"/>
                <w:szCs w:val="20"/>
              </w:rPr>
              <w:t>was conducted</w:t>
            </w:r>
            <w:proofErr w:type="gramEnd"/>
            <w:r w:rsidRPr="008157BA">
              <w:rPr>
                <w:rFonts w:cs="Times New Roman"/>
                <w:szCs w:val="20"/>
              </w:rPr>
              <w:t xml:space="preserve"> to identify which variables were associated with student grades. Results of this study showed that </w:t>
            </w:r>
            <w:proofErr w:type="spellStart"/>
            <w:r w:rsidRPr="008157BA">
              <w:rPr>
                <w:rFonts w:cs="Times New Roman"/>
                <w:szCs w:val="20"/>
              </w:rPr>
              <w:t>Latinx</w:t>
            </w:r>
            <w:proofErr w:type="spellEnd"/>
            <w:r w:rsidRPr="008157BA">
              <w:rPr>
                <w:rFonts w:cs="Times New Roman"/>
                <w:szCs w:val="20"/>
              </w:rPr>
              <w:t xml:space="preserve"> students who reported experiencing higher levels of cultural discontinuity had lower GPAs than students who reported lower levels of cultural discontinuity.</w:t>
            </w:r>
          </w:p>
        </w:tc>
      </w:tr>
      <w:tr w:rsidR="008157BA" w:rsidRPr="008157BA" w14:paraId="52EBB101" w14:textId="77777777" w:rsidTr="00B43A32">
        <w:trPr>
          <w:jc w:val="center"/>
        </w:trPr>
        <w:tc>
          <w:tcPr>
            <w:tcW w:w="2093" w:type="dxa"/>
            <w:tcBorders>
              <w:top w:val="single" w:sz="4" w:space="0" w:color="auto"/>
              <w:bottom w:val="single" w:sz="4" w:space="0" w:color="auto"/>
            </w:tcBorders>
            <w:shd w:val="clear" w:color="auto" w:fill="auto"/>
          </w:tcPr>
          <w:p w14:paraId="4ECFD5AC" w14:textId="77777777" w:rsidR="008157BA" w:rsidRPr="008157BA" w:rsidRDefault="008157BA" w:rsidP="00B43A32">
            <w:pPr>
              <w:widowControl w:val="0"/>
              <w:spacing w:line="360" w:lineRule="auto"/>
              <w:rPr>
                <w:rFonts w:cs="Times New Roman"/>
                <w:b/>
                <w:i/>
                <w:szCs w:val="20"/>
              </w:rPr>
            </w:pPr>
            <w:r w:rsidRPr="008157BA">
              <w:rPr>
                <w:rFonts w:cs="Times New Roman"/>
                <w:b/>
                <w:i/>
                <w:szCs w:val="20"/>
              </w:rPr>
              <w:t>Keywords</w:t>
            </w:r>
          </w:p>
          <w:p w14:paraId="1644FD35" w14:textId="77777777" w:rsidR="008157BA" w:rsidRPr="008157BA" w:rsidRDefault="008157BA" w:rsidP="00B43A32">
            <w:pPr>
              <w:widowControl w:val="0"/>
              <w:spacing w:line="360" w:lineRule="auto"/>
              <w:jc w:val="left"/>
              <w:rPr>
                <w:rFonts w:cs="Times New Roman"/>
                <w:sz w:val="16"/>
                <w:szCs w:val="16"/>
              </w:rPr>
            </w:pPr>
            <w:proofErr w:type="spellStart"/>
            <w:r w:rsidRPr="008157BA">
              <w:rPr>
                <w:rFonts w:cs="Times New Roman"/>
                <w:sz w:val="16"/>
                <w:szCs w:val="16"/>
              </w:rPr>
              <w:t>Latinx</w:t>
            </w:r>
            <w:proofErr w:type="spellEnd"/>
            <w:r w:rsidRPr="008157BA">
              <w:rPr>
                <w:rFonts w:cs="Times New Roman"/>
                <w:sz w:val="16"/>
                <w:szCs w:val="16"/>
              </w:rPr>
              <w:t xml:space="preserve"> students</w:t>
            </w:r>
          </w:p>
          <w:p w14:paraId="6FB285EF" w14:textId="77777777" w:rsidR="008157BA" w:rsidRPr="008157BA" w:rsidRDefault="008157BA" w:rsidP="00B43A32">
            <w:pPr>
              <w:widowControl w:val="0"/>
              <w:spacing w:line="360" w:lineRule="auto"/>
              <w:jc w:val="left"/>
              <w:rPr>
                <w:rFonts w:cs="Times New Roman"/>
                <w:sz w:val="16"/>
                <w:szCs w:val="16"/>
              </w:rPr>
            </w:pPr>
            <w:r w:rsidRPr="008157BA">
              <w:rPr>
                <w:rFonts w:cs="Times New Roman"/>
                <w:sz w:val="16"/>
                <w:szCs w:val="16"/>
              </w:rPr>
              <w:t>Cultural discontinuity</w:t>
            </w:r>
          </w:p>
          <w:p w14:paraId="2EC91E0F" w14:textId="77777777" w:rsidR="008157BA" w:rsidRPr="008157BA" w:rsidRDefault="008157BA" w:rsidP="00B43A32">
            <w:pPr>
              <w:widowControl w:val="0"/>
              <w:spacing w:line="360" w:lineRule="auto"/>
              <w:jc w:val="left"/>
              <w:rPr>
                <w:rFonts w:cs="Times New Roman"/>
                <w:sz w:val="16"/>
                <w:szCs w:val="16"/>
              </w:rPr>
            </w:pPr>
            <w:r w:rsidRPr="008157BA">
              <w:rPr>
                <w:rFonts w:cs="Times New Roman"/>
                <w:sz w:val="16"/>
                <w:szCs w:val="16"/>
              </w:rPr>
              <w:t>Grades</w:t>
            </w:r>
          </w:p>
          <w:p w14:paraId="7492DF37" w14:textId="77777777" w:rsidR="008157BA" w:rsidRPr="008157BA" w:rsidRDefault="008157BA" w:rsidP="00B43A32">
            <w:pPr>
              <w:widowControl w:val="0"/>
              <w:spacing w:line="360" w:lineRule="auto"/>
              <w:jc w:val="left"/>
              <w:rPr>
                <w:rFonts w:cs="Times New Roman"/>
                <w:sz w:val="18"/>
                <w:szCs w:val="18"/>
              </w:rPr>
            </w:pPr>
            <w:r w:rsidRPr="008157BA">
              <w:rPr>
                <w:rFonts w:cs="Times New Roman"/>
                <w:sz w:val="16"/>
                <w:szCs w:val="16"/>
              </w:rPr>
              <w:t>High school</w:t>
            </w:r>
          </w:p>
        </w:tc>
        <w:tc>
          <w:tcPr>
            <w:tcW w:w="425" w:type="dxa"/>
          </w:tcPr>
          <w:p w14:paraId="418A42E8" w14:textId="77777777" w:rsidR="008157BA" w:rsidRPr="008157BA" w:rsidRDefault="008157BA" w:rsidP="00B43A32">
            <w:pPr>
              <w:widowControl w:val="0"/>
              <w:spacing w:line="360" w:lineRule="auto"/>
              <w:ind w:left="-54"/>
              <w:rPr>
                <w:rFonts w:cs="Times New Roman"/>
                <w:b/>
                <w:sz w:val="24"/>
                <w:szCs w:val="20"/>
              </w:rPr>
            </w:pPr>
          </w:p>
        </w:tc>
        <w:tc>
          <w:tcPr>
            <w:tcW w:w="6723" w:type="dxa"/>
            <w:vMerge/>
            <w:tcBorders>
              <w:top w:val="nil"/>
              <w:bottom w:val="single" w:sz="4" w:space="0" w:color="auto"/>
            </w:tcBorders>
            <w:shd w:val="clear" w:color="auto" w:fill="auto"/>
          </w:tcPr>
          <w:p w14:paraId="703596EB" w14:textId="77777777" w:rsidR="008157BA" w:rsidRPr="008157BA" w:rsidRDefault="008157BA" w:rsidP="00B43A32">
            <w:pPr>
              <w:widowControl w:val="0"/>
              <w:spacing w:line="360" w:lineRule="auto"/>
              <w:rPr>
                <w:rFonts w:cs="Times New Roman"/>
                <w:b/>
                <w:sz w:val="24"/>
                <w:szCs w:val="20"/>
              </w:rPr>
            </w:pPr>
          </w:p>
        </w:tc>
      </w:tr>
    </w:tbl>
    <w:p w14:paraId="36F2421D" w14:textId="77777777" w:rsidR="008157BA" w:rsidRPr="008157BA" w:rsidRDefault="008157BA" w:rsidP="008157BA">
      <w:pPr>
        <w:widowControl w:val="0"/>
        <w:spacing w:line="360" w:lineRule="auto"/>
        <w:rPr>
          <w:rFonts w:cs="Times New Roman"/>
          <w:szCs w:val="20"/>
        </w:rPr>
      </w:pPr>
    </w:p>
    <w:p w14:paraId="06DF28B5" w14:textId="77777777" w:rsidR="008157BA" w:rsidRPr="008157BA" w:rsidRDefault="008157BA" w:rsidP="008157BA">
      <w:pPr>
        <w:widowControl w:val="0"/>
        <w:spacing w:line="360" w:lineRule="auto"/>
        <w:rPr>
          <w:rFonts w:cs="Times New Roman"/>
          <w:b/>
        </w:rPr>
      </w:pPr>
      <w:bookmarkStart w:id="1" w:name="OLE_LINK7"/>
      <w:bookmarkStart w:id="2" w:name="OLE_LINK8"/>
      <w:r w:rsidRPr="008157BA">
        <w:rPr>
          <w:rFonts w:cs="Times New Roman"/>
          <w:b/>
          <w:sz w:val="24"/>
        </w:rPr>
        <w:t>Introduction</w:t>
      </w:r>
    </w:p>
    <w:p w14:paraId="3A2956E2" w14:textId="77777777" w:rsidR="008157BA" w:rsidRPr="008157BA" w:rsidRDefault="008157BA" w:rsidP="008157BA">
      <w:pPr>
        <w:widowControl w:val="0"/>
        <w:spacing w:line="360" w:lineRule="auto"/>
        <w:rPr>
          <w:rFonts w:cs="Times New Roman"/>
          <w:color w:val="000000"/>
        </w:rPr>
      </w:pPr>
    </w:p>
    <w:bookmarkEnd w:id="1"/>
    <w:bookmarkEnd w:id="2"/>
    <w:p w14:paraId="5EF6FF9B"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make up over one-quarter of public school students in the United States (U.S.) and are currently the largest minority group in public schools (de </w:t>
      </w:r>
      <w:proofErr w:type="spellStart"/>
      <w:r w:rsidRPr="008157BA">
        <w:rPr>
          <w:rFonts w:ascii="Times New Roman" w:hAnsi="Times New Roman"/>
          <w:sz w:val="20"/>
          <w:szCs w:val="20"/>
        </w:rPr>
        <w:t>Brey</w:t>
      </w:r>
      <w:proofErr w:type="spellEnd"/>
      <w:r w:rsidRPr="008157BA">
        <w:rPr>
          <w:rFonts w:ascii="Times New Roman" w:hAnsi="Times New Roman"/>
          <w:sz w:val="20"/>
          <w:szCs w:val="20"/>
        </w:rPr>
        <w:t xml:space="preserve"> et al., 2021). This population has increased across all 50 states and the District of Columbia over the past decade (Irwin et al., 2021). Although high school dropout rates have decreased and college enrollment rates have increased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over the past 20 years, they still have the lowest high school and bachelor’s degree completion rates among their Asian, Black, and White peers (de </w:t>
      </w:r>
      <w:proofErr w:type="spellStart"/>
      <w:r w:rsidRPr="008157BA">
        <w:rPr>
          <w:rFonts w:ascii="Times New Roman" w:hAnsi="Times New Roman"/>
          <w:sz w:val="20"/>
          <w:szCs w:val="20"/>
        </w:rPr>
        <w:t>Brey</w:t>
      </w:r>
      <w:proofErr w:type="spellEnd"/>
      <w:r w:rsidRPr="008157BA">
        <w:rPr>
          <w:rFonts w:ascii="Times New Roman" w:hAnsi="Times New Roman"/>
          <w:sz w:val="20"/>
          <w:szCs w:val="20"/>
        </w:rPr>
        <w:t xml:space="preserve"> et al., 2019; 2021).</w:t>
      </w:r>
    </w:p>
    <w:p w14:paraId="44B8BF8A"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E98EFFD"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Cultural discontinuity </w:t>
      </w:r>
      <w:proofErr w:type="gramStart"/>
      <w:r w:rsidRPr="008157BA">
        <w:rPr>
          <w:rFonts w:ascii="Times New Roman" w:hAnsi="Times New Roman"/>
          <w:sz w:val="20"/>
          <w:szCs w:val="20"/>
        </w:rPr>
        <w:t>has been explored</w:t>
      </w:r>
      <w:proofErr w:type="gramEnd"/>
      <w:r w:rsidRPr="008157BA">
        <w:rPr>
          <w:rFonts w:ascii="Times New Roman" w:hAnsi="Times New Roman"/>
          <w:sz w:val="20"/>
          <w:szCs w:val="20"/>
        </w:rPr>
        <w:t xml:space="preserve"> in the literature as one contributor to the academic challenges of racial/ethnic minority students (Baker, 2005; Boykin, Tyler, &amp; Miller, 2005; </w:t>
      </w:r>
      <w:proofErr w:type="spellStart"/>
      <w:r w:rsidRPr="008157BA">
        <w:rPr>
          <w:rFonts w:ascii="Times New Roman" w:hAnsi="Times New Roman"/>
          <w:sz w:val="20"/>
          <w:szCs w:val="20"/>
        </w:rPr>
        <w:t>Cartledge</w:t>
      </w:r>
      <w:proofErr w:type="spellEnd"/>
      <w:r w:rsidRPr="008157BA">
        <w:rPr>
          <w:rFonts w:ascii="Times New Roman" w:hAnsi="Times New Roman"/>
          <w:sz w:val="20"/>
          <w:szCs w:val="20"/>
        </w:rPr>
        <w:t xml:space="preserve"> &amp; </w:t>
      </w:r>
      <w:proofErr w:type="spellStart"/>
      <w:r w:rsidRPr="008157BA">
        <w:rPr>
          <w:rFonts w:ascii="Times New Roman" w:hAnsi="Times New Roman"/>
          <w:sz w:val="20"/>
          <w:szCs w:val="20"/>
        </w:rPr>
        <w:t>Loe</w:t>
      </w:r>
      <w:proofErr w:type="spellEnd"/>
      <w:r w:rsidRPr="008157BA">
        <w:rPr>
          <w:rFonts w:ascii="Times New Roman" w:hAnsi="Times New Roman"/>
          <w:sz w:val="20"/>
          <w:szCs w:val="20"/>
        </w:rPr>
        <w:t xml:space="preserve">, 2001; Foster et al., 2003; Ladson-Billings, 1995; Taggart, 2017). It </w:t>
      </w:r>
      <w:proofErr w:type="gramStart"/>
      <w:r w:rsidRPr="008157BA">
        <w:rPr>
          <w:rFonts w:ascii="Times New Roman" w:hAnsi="Times New Roman"/>
          <w:sz w:val="20"/>
          <w:szCs w:val="20"/>
        </w:rPr>
        <w:t>has been defined</w:t>
      </w:r>
      <w:proofErr w:type="gramEnd"/>
      <w:r w:rsidRPr="008157BA">
        <w:rPr>
          <w:rFonts w:ascii="Times New Roman" w:hAnsi="Times New Roman"/>
          <w:sz w:val="20"/>
          <w:szCs w:val="20"/>
        </w:rPr>
        <w:t xml:space="preserve"> as “a school-based behavioral process where the cultural value-based learning preferences and practices of many ethnic minority students—those typically originating from home or parental socialization activities—are discontinued at school” (Tyler et al., 2008, p. 281). It has also been termed cultural mismatch, incongruence, misalignment, dissonance, conflict, and collision (e.g., </w:t>
      </w:r>
      <w:proofErr w:type="spellStart"/>
      <w:r w:rsidRPr="008157BA">
        <w:rPr>
          <w:rFonts w:ascii="Times New Roman" w:hAnsi="Times New Roman"/>
          <w:sz w:val="20"/>
          <w:szCs w:val="20"/>
        </w:rPr>
        <w:t>Beachum</w:t>
      </w:r>
      <w:proofErr w:type="spellEnd"/>
      <w:r w:rsidRPr="008157BA">
        <w:rPr>
          <w:rFonts w:ascii="Times New Roman" w:hAnsi="Times New Roman"/>
          <w:sz w:val="20"/>
          <w:szCs w:val="20"/>
        </w:rPr>
        <w:t xml:space="preserve"> &amp; McCray, 2008; Foster et al., 2003; Ladson-Billings, 1995; Nguyen &amp; Nguyen, 2020; Phillips et al., 2020; Stephens et al., 2019). </w:t>
      </w:r>
      <w:proofErr w:type="gramStart"/>
      <w:r w:rsidRPr="008157BA">
        <w:rPr>
          <w:rFonts w:ascii="Times New Roman" w:hAnsi="Times New Roman"/>
          <w:sz w:val="20"/>
          <w:szCs w:val="20"/>
        </w:rPr>
        <w:t xml:space="preserve">Though heterogeneity exists within cultural groups and between individuals within those groups (Mercado &amp; Trumbull, 2018; </w:t>
      </w:r>
      <w:proofErr w:type="spellStart"/>
      <w:r w:rsidRPr="008157BA">
        <w:rPr>
          <w:rFonts w:ascii="Times New Roman" w:hAnsi="Times New Roman"/>
          <w:sz w:val="20"/>
          <w:szCs w:val="20"/>
        </w:rPr>
        <w:t>Warikoo</w:t>
      </w:r>
      <w:proofErr w:type="spellEnd"/>
      <w:r w:rsidRPr="008157BA">
        <w:rPr>
          <w:rFonts w:ascii="Times New Roman" w:hAnsi="Times New Roman"/>
          <w:sz w:val="20"/>
          <w:szCs w:val="20"/>
        </w:rPr>
        <w:t xml:space="preserve"> &amp; Carter, 2009), U.S. educational institutions tend to promote </w:t>
      </w:r>
      <w:r w:rsidRPr="008157BA">
        <w:rPr>
          <w:rFonts w:ascii="Times New Roman" w:hAnsi="Times New Roman"/>
          <w:sz w:val="20"/>
          <w:szCs w:val="20"/>
        </w:rPr>
        <w:lastRenderedPageBreak/>
        <w:t xml:space="preserve">Eurocentric cultural values such as individualism, independence, and competition (e.g., Mercado &amp; Trumbull, 2018; Phillips et al., 2020; Schwartz et al., 2013; Vasquez-Salgado et al., 2015) that may not reflect the collectivism prioritized in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families and communities (Greenfield et al., 2003; Lopez et al., 2012; Mejia-</w:t>
      </w:r>
      <w:proofErr w:type="spellStart"/>
      <w:r w:rsidRPr="008157BA">
        <w:rPr>
          <w:rFonts w:ascii="Times New Roman" w:hAnsi="Times New Roman"/>
          <w:sz w:val="20"/>
          <w:szCs w:val="20"/>
        </w:rPr>
        <w:t>Arauz</w:t>
      </w:r>
      <w:proofErr w:type="spellEnd"/>
      <w:r w:rsidRPr="008157BA">
        <w:rPr>
          <w:rFonts w:ascii="Times New Roman" w:hAnsi="Times New Roman"/>
          <w:sz w:val="20"/>
          <w:szCs w:val="20"/>
        </w:rPr>
        <w:t xml:space="preserve"> et al., 2007; Mosier &amp; </w:t>
      </w:r>
      <w:proofErr w:type="spellStart"/>
      <w:r w:rsidRPr="008157BA">
        <w:rPr>
          <w:rFonts w:ascii="Times New Roman" w:hAnsi="Times New Roman"/>
          <w:sz w:val="20"/>
          <w:szCs w:val="20"/>
        </w:rPr>
        <w:t>Rogoff</w:t>
      </w:r>
      <w:proofErr w:type="spellEnd"/>
      <w:r w:rsidRPr="008157BA">
        <w:rPr>
          <w:rFonts w:ascii="Times New Roman" w:hAnsi="Times New Roman"/>
          <w:sz w:val="20"/>
          <w:szCs w:val="20"/>
        </w:rPr>
        <w:t xml:space="preserve">, 2003; </w:t>
      </w:r>
      <w:proofErr w:type="spellStart"/>
      <w:r w:rsidRPr="008157BA">
        <w:rPr>
          <w:rFonts w:ascii="Times New Roman" w:hAnsi="Times New Roman"/>
          <w:sz w:val="20"/>
          <w:szCs w:val="20"/>
        </w:rPr>
        <w:t>Pinquart</w:t>
      </w:r>
      <w:proofErr w:type="spellEnd"/>
      <w:r w:rsidRPr="008157BA">
        <w:rPr>
          <w:rFonts w:ascii="Times New Roman" w:hAnsi="Times New Roman"/>
          <w:sz w:val="20"/>
          <w:szCs w:val="20"/>
        </w:rPr>
        <w:t xml:space="preserve"> &amp; </w:t>
      </w:r>
      <w:proofErr w:type="spellStart"/>
      <w:r w:rsidRPr="008157BA">
        <w:rPr>
          <w:rFonts w:ascii="Times New Roman" w:hAnsi="Times New Roman"/>
          <w:sz w:val="20"/>
          <w:szCs w:val="20"/>
        </w:rPr>
        <w:t>Kauser</w:t>
      </w:r>
      <w:proofErr w:type="spellEnd"/>
      <w:r w:rsidRPr="008157BA">
        <w:rPr>
          <w:rFonts w:ascii="Times New Roman" w:hAnsi="Times New Roman"/>
          <w:sz w:val="20"/>
          <w:szCs w:val="20"/>
        </w:rPr>
        <w:t>, 2018).</w:t>
      </w:r>
      <w:proofErr w:type="gramEnd"/>
      <w:r w:rsidRPr="008157BA">
        <w:rPr>
          <w:rFonts w:ascii="Times New Roman" w:hAnsi="Times New Roman"/>
          <w:sz w:val="20"/>
          <w:szCs w:val="20"/>
        </w:rPr>
        <w:t xml:space="preserve"> The discontinuity that results between these contrasting cultural values </w:t>
      </w:r>
      <w:proofErr w:type="gramStart"/>
      <w:r w:rsidRPr="008157BA">
        <w:rPr>
          <w:rFonts w:ascii="Times New Roman" w:hAnsi="Times New Roman"/>
          <w:sz w:val="20"/>
          <w:szCs w:val="20"/>
        </w:rPr>
        <w:t>has been shown</w:t>
      </w:r>
      <w:proofErr w:type="gramEnd"/>
      <w:r w:rsidRPr="008157BA">
        <w:rPr>
          <w:rFonts w:ascii="Times New Roman" w:hAnsi="Times New Roman"/>
          <w:sz w:val="20"/>
          <w:szCs w:val="20"/>
        </w:rPr>
        <w:t xml:space="preserve"> to contribute to academic and psychosocial difficulties for culturally diverse students (Chang et al., 2020; </w:t>
      </w:r>
      <w:proofErr w:type="spellStart"/>
      <w:r w:rsidRPr="008157BA">
        <w:rPr>
          <w:rFonts w:ascii="Times New Roman" w:hAnsi="Times New Roman"/>
          <w:sz w:val="20"/>
          <w:szCs w:val="20"/>
        </w:rPr>
        <w:t>Cholewa</w:t>
      </w:r>
      <w:proofErr w:type="spellEnd"/>
      <w:r w:rsidRPr="008157BA">
        <w:rPr>
          <w:rFonts w:ascii="Times New Roman" w:hAnsi="Times New Roman"/>
          <w:sz w:val="20"/>
          <w:szCs w:val="20"/>
        </w:rPr>
        <w:t xml:space="preserve"> &amp; West-</w:t>
      </w:r>
      <w:proofErr w:type="spellStart"/>
      <w:r w:rsidRPr="008157BA">
        <w:rPr>
          <w:rFonts w:ascii="Times New Roman" w:hAnsi="Times New Roman"/>
          <w:sz w:val="20"/>
          <w:szCs w:val="20"/>
        </w:rPr>
        <w:t>Olatunji</w:t>
      </w:r>
      <w:proofErr w:type="spellEnd"/>
      <w:r w:rsidRPr="008157BA">
        <w:rPr>
          <w:rFonts w:ascii="Times New Roman" w:hAnsi="Times New Roman"/>
          <w:sz w:val="20"/>
          <w:szCs w:val="20"/>
        </w:rPr>
        <w:t xml:space="preserve">, 2008; </w:t>
      </w:r>
      <w:proofErr w:type="spellStart"/>
      <w:r w:rsidRPr="008157BA">
        <w:rPr>
          <w:rFonts w:ascii="Times New Roman" w:hAnsi="Times New Roman"/>
          <w:sz w:val="20"/>
          <w:szCs w:val="20"/>
        </w:rPr>
        <w:t>Lui</w:t>
      </w:r>
      <w:proofErr w:type="spellEnd"/>
      <w:r w:rsidRPr="008157BA">
        <w:rPr>
          <w:rFonts w:ascii="Times New Roman" w:hAnsi="Times New Roman"/>
          <w:sz w:val="20"/>
          <w:szCs w:val="20"/>
        </w:rPr>
        <w:t xml:space="preserve">, 2015; Phillips et al., 2020; Stephens et al., 2019). For example, research has found that home-school dissonance </w:t>
      </w:r>
      <w:proofErr w:type="gramStart"/>
      <w:r w:rsidRPr="008157BA">
        <w:rPr>
          <w:rFonts w:ascii="Times New Roman" w:hAnsi="Times New Roman"/>
          <w:sz w:val="20"/>
          <w:szCs w:val="20"/>
        </w:rPr>
        <w:t>is correlated</w:t>
      </w:r>
      <w:proofErr w:type="gramEnd"/>
      <w:r w:rsidRPr="008157BA">
        <w:rPr>
          <w:rFonts w:ascii="Times New Roman" w:hAnsi="Times New Roman"/>
          <w:sz w:val="20"/>
          <w:szCs w:val="20"/>
        </w:rPr>
        <w:t xml:space="preserve"> with lower self-esteem, mental health, and academic outcomes (</w:t>
      </w:r>
      <w:proofErr w:type="spellStart"/>
      <w:r w:rsidRPr="008157BA">
        <w:rPr>
          <w:rFonts w:ascii="Times New Roman" w:hAnsi="Times New Roman"/>
          <w:sz w:val="20"/>
          <w:szCs w:val="20"/>
        </w:rPr>
        <w:t>Arunkumar</w:t>
      </w:r>
      <w:proofErr w:type="spellEnd"/>
      <w:r w:rsidRPr="008157BA">
        <w:rPr>
          <w:rFonts w:ascii="Times New Roman" w:hAnsi="Times New Roman"/>
          <w:sz w:val="20"/>
          <w:szCs w:val="20"/>
        </w:rPr>
        <w:t xml:space="preserve"> et al., 1999; </w:t>
      </w:r>
      <w:proofErr w:type="spellStart"/>
      <w:r w:rsidRPr="008157BA">
        <w:rPr>
          <w:rFonts w:ascii="Times New Roman" w:hAnsi="Times New Roman"/>
          <w:sz w:val="20"/>
          <w:szCs w:val="20"/>
        </w:rPr>
        <w:t>Lui</w:t>
      </w:r>
      <w:proofErr w:type="spellEnd"/>
      <w:r w:rsidRPr="008157BA">
        <w:rPr>
          <w:rFonts w:ascii="Times New Roman" w:hAnsi="Times New Roman"/>
          <w:sz w:val="20"/>
          <w:szCs w:val="20"/>
        </w:rPr>
        <w:t xml:space="preserve">, 2015; Phillips et al., 2020; Stephens et al., 2012; Vasquez-Salgado et al., 2015). </w:t>
      </w:r>
    </w:p>
    <w:p w14:paraId="4C3BBB77"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2A939621"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roofErr w:type="gramStart"/>
      <w:r w:rsidRPr="008157BA">
        <w:rPr>
          <w:rFonts w:ascii="Times New Roman" w:hAnsi="Times New Roman"/>
          <w:sz w:val="20"/>
          <w:szCs w:val="20"/>
        </w:rPr>
        <w:t xml:space="preserve">Much of the work on cultural discontinuity in schools has focused on African American elementary school-age students and has shown that although African American students prefer learning in ways congruent with their cultural values, otherwise termed </w:t>
      </w:r>
      <w:proofErr w:type="spellStart"/>
      <w:r w:rsidRPr="008157BA">
        <w:rPr>
          <w:rFonts w:ascii="Times New Roman" w:hAnsi="Times New Roman"/>
          <w:sz w:val="20"/>
          <w:szCs w:val="20"/>
        </w:rPr>
        <w:t>Afrocultural</w:t>
      </w:r>
      <w:proofErr w:type="spellEnd"/>
      <w:r w:rsidRPr="008157BA">
        <w:rPr>
          <w:rFonts w:ascii="Times New Roman" w:hAnsi="Times New Roman"/>
          <w:sz w:val="20"/>
          <w:szCs w:val="20"/>
        </w:rPr>
        <w:t xml:space="preserve"> values (e.g., Boykin, Albury, et al., 2005; </w:t>
      </w:r>
      <w:proofErr w:type="spellStart"/>
      <w:r w:rsidRPr="008157BA">
        <w:rPr>
          <w:rFonts w:ascii="Times New Roman" w:hAnsi="Times New Roman"/>
          <w:sz w:val="20"/>
          <w:szCs w:val="20"/>
        </w:rPr>
        <w:t>Marryshow</w:t>
      </w:r>
      <w:proofErr w:type="spellEnd"/>
      <w:r w:rsidRPr="008157BA">
        <w:rPr>
          <w:rFonts w:ascii="Times New Roman" w:hAnsi="Times New Roman"/>
          <w:sz w:val="20"/>
          <w:szCs w:val="20"/>
        </w:rPr>
        <w:t xml:space="preserve"> et al., 2005; </w:t>
      </w:r>
      <w:proofErr w:type="spellStart"/>
      <w:r w:rsidRPr="008157BA">
        <w:rPr>
          <w:rFonts w:ascii="Times New Roman" w:hAnsi="Times New Roman"/>
          <w:sz w:val="20"/>
          <w:szCs w:val="20"/>
        </w:rPr>
        <w:t>Sankofa</w:t>
      </w:r>
      <w:proofErr w:type="spellEnd"/>
      <w:r w:rsidRPr="008157BA">
        <w:rPr>
          <w:rFonts w:ascii="Times New Roman" w:hAnsi="Times New Roman"/>
          <w:sz w:val="20"/>
          <w:szCs w:val="20"/>
        </w:rPr>
        <w:t xml:space="preserve"> et al., 2005; Tyler, Boykin, Miller, &amp; Hurley, 2006), their teachers prefer and practice Eurocentric cultural values and behaviors in the classroom (Boykin &amp; Cunningham, 2001; Boykin, Tyler, &amp; Miller, 2005; Tyler, Boykin, &amp; Walton, 2006) and reject </w:t>
      </w:r>
      <w:proofErr w:type="spellStart"/>
      <w:r w:rsidRPr="008157BA">
        <w:rPr>
          <w:rFonts w:ascii="Times New Roman" w:hAnsi="Times New Roman"/>
          <w:sz w:val="20"/>
          <w:szCs w:val="20"/>
        </w:rPr>
        <w:t>Afrocultural</w:t>
      </w:r>
      <w:proofErr w:type="spellEnd"/>
      <w:r w:rsidRPr="008157BA">
        <w:rPr>
          <w:rFonts w:ascii="Times New Roman" w:hAnsi="Times New Roman"/>
          <w:sz w:val="20"/>
          <w:szCs w:val="20"/>
        </w:rPr>
        <w:t xml:space="preserve"> behaviors (</w:t>
      </w:r>
      <w:proofErr w:type="spellStart"/>
      <w:r w:rsidRPr="008157BA">
        <w:rPr>
          <w:rFonts w:ascii="Times New Roman" w:hAnsi="Times New Roman"/>
          <w:sz w:val="20"/>
          <w:szCs w:val="20"/>
        </w:rPr>
        <w:t>Marryshow</w:t>
      </w:r>
      <w:proofErr w:type="spellEnd"/>
      <w:r w:rsidRPr="008157BA">
        <w:rPr>
          <w:rFonts w:ascii="Times New Roman" w:hAnsi="Times New Roman"/>
          <w:sz w:val="20"/>
          <w:szCs w:val="20"/>
        </w:rPr>
        <w:t xml:space="preserve"> et al., 2005).</w:t>
      </w:r>
      <w:proofErr w:type="gramEnd"/>
      <w:r w:rsidRPr="008157BA">
        <w:rPr>
          <w:rFonts w:ascii="Times New Roman" w:hAnsi="Times New Roman"/>
          <w:sz w:val="20"/>
          <w:szCs w:val="20"/>
        </w:rPr>
        <w:t xml:space="preserve"> </w:t>
      </w:r>
      <w:proofErr w:type="gramStart"/>
      <w:r w:rsidRPr="008157BA">
        <w:rPr>
          <w:rFonts w:ascii="Times New Roman" w:hAnsi="Times New Roman"/>
          <w:sz w:val="20"/>
          <w:szCs w:val="20"/>
        </w:rPr>
        <w:t>While the body of research on cultural discontinuity is growing and has addressed non-</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cultural heritage groups (e.g., </w:t>
      </w:r>
      <w:r w:rsidRPr="008157BA">
        <w:rPr>
          <w:rFonts w:ascii="Times New Roman" w:hAnsi="Times New Roman"/>
          <w:color w:val="000000"/>
          <w:sz w:val="20"/>
          <w:szCs w:val="20"/>
        </w:rPr>
        <w:t xml:space="preserve">Davis et al., 2018; </w:t>
      </w:r>
      <w:r w:rsidRPr="008157BA">
        <w:rPr>
          <w:rFonts w:ascii="Times New Roman" w:hAnsi="Times New Roman"/>
          <w:sz w:val="20"/>
          <w:szCs w:val="20"/>
        </w:rPr>
        <w:t>Kearney et al., 2011</w:t>
      </w:r>
      <w:r w:rsidRPr="008157BA">
        <w:rPr>
          <w:rFonts w:ascii="Times New Roman" w:hAnsi="Times New Roman"/>
          <w:color w:val="000000"/>
          <w:sz w:val="20"/>
          <w:szCs w:val="20"/>
        </w:rPr>
        <w:t>), elementary-age students (e.g., Torrez, 2017), and college students (e.g., Phillips et al., 2020; Stephens et al., 2012</w:t>
      </w:r>
      <w:r w:rsidRPr="008157BA">
        <w:rPr>
          <w:rFonts w:ascii="Times New Roman" w:hAnsi="Times New Roman"/>
          <w:sz w:val="20"/>
          <w:szCs w:val="20"/>
        </w:rPr>
        <w:t xml:space="preserve">), there remains a lack of empirical research on the relationship between cultural discontinuity and academic outcomes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secondary students.</w:t>
      </w:r>
      <w:proofErr w:type="gramEnd"/>
      <w:r w:rsidRPr="008157BA">
        <w:rPr>
          <w:rFonts w:ascii="Times New Roman" w:hAnsi="Times New Roman"/>
          <w:sz w:val="20"/>
          <w:szCs w:val="20"/>
        </w:rPr>
        <w:t xml:space="preserve"> Therefore, the purpose of the current quantitative study was to examine the influence of cultural discontinuity between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and Eurocentric cultural values on the grades of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high school students. The present study extends previous research on this topic (Taggart, 2017) by examining the relationship between cultural values and student grades with a larger sample of students across a greater geographic area. The research questions guiding this research were:</w:t>
      </w:r>
    </w:p>
    <w:p w14:paraId="7AF337EB" w14:textId="77777777" w:rsidR="008157BA" w:rsidRPr="008157BA" w:rsidRDefault="008157BA" w:rsidP="008157BA">
      <w:pPr>
        <w:pStyle w:val="AralkYok"/>
        <w:widowControl w:val="0"/>
        <w:numPr>
          <w:ilvl w:val="0"/>
          <w:numId w:val="8"/>
        </w:numPr>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Are there significant differences between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who do and do not experience cultural discontinuity between home and school?</w:t>
      </w:r>
    </w:p>
    <w:p w14:paraId="5FB51A98" w14:textId="77777777" w:rsidR="008157BA" w:rsidRPr="008157BA" w:rsidRDefault="008157BA" w:rsidP="008157BA">
      <w:pPr>
        <w:pStyle w:val="AralkYok"/>
        <w:widowControl w:val="0"/>
        <w:numPr>
          <w:ilvl w:val="0"/>
          <w:numId w:val="8"/>
        </w:numPr>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What is the influence of discontinuity between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and Eurocentric cultural values on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grades?</w:t>
      </w:r>
    </w:p>
    <w:p w14:paraId="41CA2C89"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041B4C27"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By surveying students across multiple schools and in turn examining their grades, this study effectively synthesized specific cultural experiences prevalent in these educational settings and their influence on student achievement. In addition, by learning about the cultural values and related behaviors to which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w:t>
      </w:r>
      <w:proofErr w:type="gramStart"/>
      <w:r w:rsidRPr="008157BA">
        <w:rPr>
          <w:rFonts w:ascii="Times New Roman" w:hAnsi="Times New Roman"/>
          <w:sz w:val="20"/>
          <w:szCs w:val="20"/>
        </w:rPr>
        <w:t>have been socialized</w:t>
      </w:r>
      <w:proofErr w:type="gramEnd"/>
      <w:r w:rsidRPr="008157BA">
        <w:rPr>
          <w:rFonts w:ascii="Times New Roman" w:hAnsi="Times New Roman"/>
          <w:sz w:val="20"/>
          <w:szCs w:val="20"/>
        </w:rPr>
        <w:t xml:space="preserve"> at home, as well as the influence these values have on student outcomes, educators can work to incorporate culturally affirming ways of learning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while simultaneously alleviating the marginalization of their culture in schools.</w:t>
      </w:r>
    </w:p>
    <w:p w14:paraId="2645397B" w14:textId="77777777" w:rsidR="008157BA" w:rsidRPr="008157BA" w:rsidRDefault="008157BA" w:rsidP="008157BA">
      <w:pPr>
        <w:widowControl w:val="0"/>
        <w:spacing w:line="360" w:lineRule="auto"/>
        <w:rPr>
          <w:rFonts w:cs="Times New Roman"/>
          <w:b/>
          <w:szCs w:val="20"/>
        </w:rPr>
      </w:pPr>
    </w:p>
    <w:p w14:paraId="48BAD7D5" w14:textId="77777777" w:rsidR="008157BA" w:rsidRPr="008157BA" w:rsidRDefault="008157BA" w:rsidP="008157BA">
      <w:pPr>
        <w:widowControl w:val="0"/>
        <w:spacing w:line="360" w:lineRule="auto"/>
        <w:rPr>
          <w:rFonts w:cs="Times New Roman"/>
          <w:b/>
          <w:sz w:val="24"/>
        </w:rPr>
      </w:pPr>
      <w:r w:rsidRPr="008157BA">
        <w:rPr>
          <w:rFonts w:cs="Times New Roman"/>
          <w:b/>
          <w:sz w:val="24"/>
        </w:rPr>
        <w:t>Conceptual Framework and Related Literature</w:t>
      </w:r>
    </w:p>
    <w:p w14:paraId="42F6F067" w14:textId="77777777" w:rsidR="008157BA" w:rsidRPr="008157BA" w:rsidRDefault="008157BA" w:rsidP="008157BA">
      <w:pPr>
        <w:pStyle w:val="AralkYok"/>
        <w:widowControl w:val="0"/>
        <w:suppressAutoHyphens/>
        <w:spacing w:line="360" w:lineRule="auto"/>
        <w:jc w:val="both"/>
        <w:rPr>
          <w:rFonts w:ascii="Times New Roman" w:hAnsi="Times New Roman"/>
          <w:b/>
          <w:sz w:val="20"/>
          <w:szCs w:val="20"/>
          <w:lang w:eastAsia="ar-SA"/>
        </w:rPr>
      </w:pPr>
    </w:p>
    <w:p w14:paraId="16717A16"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The conceptual framework for this study </w:t>
      </w:r>
      <w:proofErr w:type="gramStart"/>
      <w:r w:rsidRPr="008157BA">
        <w:rPr>
          <w:rFonts w:ascii="Times New Roman" w:hAnsi="Times New Roman"/>
          <w:sz w:val="20"/>
          <w:szCs w:val="20"/>
        </w:rPr>
        <w:t>was developed</w:t>
      </w:r>
      <w:proofErr w:type="gramEnd"/>
      <w:r w:rsidRPr="008157BA">
        <w:rPr>
          <w:rFonts w:ascii="Times New Roman" w:hAnsi="Times New Roman"/>
          <w:sz w:val="20"/>
          <w:szCs w:val="20"/>
        </w:rPr>
        <w:t xml:space="preserve"> from related literature. The variables in the model </w:t>
      </w:r>
      <w:proofErr w:type="gramStart"/>
      <w:r w:rsidRPr="008157BA">
        <w:rPr>
          <w:rFonts w:ascii="Times New Roman" w:hAnsi="Times New Roman"/>
          <w:sz w:val="20"/>
          <w:szCs w:val="20"/>
        </w:rPr>
        <w:t>were culled</w:t>
      </w:r>
      <w:proofErr w:type="gramEnd"/>
      <w:r w:rsidRPr="008157BA">
        <w:rPr>
          <w:rFonts w:ascii="Times New Roman" w:hAnsi="Times New Roman"/>
          <w:sz w:val="20"/>
          <w:szCs w:val="20"/>
        </w:rPr>
        <w:t xml:space="preserve"> from previous research focused on predictors of academic achievement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(see Taggart </w:t>
      </w:r>
      <w:r w:rsidRPr="008157BA">
        <w:rPr>
          <w:rFonts w:ascii="Times New Roman" w:hAnsi="Times New Roman"/>
          <w:sz w:val="20"/>
          <w:szCs w:val="20"/>
        </w:rPr>
        <w:lastRenderedPageBreak/>
        <w:t xml:space="preserve">[2018] for a comprehensive review) as well as literature on the cultural values thought to be prioritized in U.S. educational institutions and in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culture. The model theorizes that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grades </w:t>
      </w:r>
      <w:proofErr w:type="gramStart"/>
      <w:r w:rsidRPr="008157BA">
        <w:rPr>
          <w:rFonts w:ascii="Times New Roman" w:hAnsi="Times New Roman"/>
          <w:sz w:val="20"/>
          <w:szCs w:val="20"/>
        </w:rPr>
        <w:t>are influenced</w:t>
      </w:r>
      <w:proofErr w:type="gramEnd"/>
      <w:r w:rsidRPr="008157BA">
        <w:rPr>
          <w:rFonts w:ascii="Times New Roman" w:hAnsi="Times New Roman"/>
          <w:sz w:val="20"/>
          <w:szCs w:val="20"/>
        </w:rPr>
        <w:t xml:space="preserve"> by socio-demographic variables, academic experiences, and cultural discontinuity. The following review of the literature synthesizes the body of research on the Eurocentric cultural values prominent in schools and the contrasting values promulgated in many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families, the misalignment of which may result in cultural discontinuity between home and school.</w:t>
      </w:r>
    </w:p>
    <w:p w14:paraId="1A65493A" w14:textId="77777777" w:rsidR="008157BA" w:rsidRPr="008157BA" w:rsidRDefault="008157BA" w:rsidP="008157BA">
      <w:pPr>
        <w:pStyle w:val="AralkYok"/>
        <w:widowControl w:val="0"/>
        <w:suppressAutoHyphens/>
        <w:spacing w:line="360" w:lineRule="auto"/>
        <w:jc w:val="both"/>
        <w:rPr>
          <w:rFonts w:ascii="Times New Roman" w:hAnsi="Times New Roman"/>
          <w:b/>
          <w:sz w:val="20"/>
          <w:szCs w:val="20"/>
        </w:rPr>
      </w:pPr>
    </w:p>
    <w:p w14:paraId="3AB7087E" w14:textId="77777777" w:rsidR="008157BA" w:rsidRPr="008157BA" w:rsidRDefault="008157BA" w:rsidP="008157BA">
      <w:pPr>
        <w:pStyle w:val="AralkYok"/>
        <w:widowControl w:val="0"/>
        <w:suppressAutoHyphens/>
        <w:spacing w:line="360" w:lineRule="auto"/>
        <w:jc w:val="both"/>
        <w:rPr>
          <w:rFonts w:ascii="Times New Roman" w:hAnsi="Times New Roman"/>
          <w:b/>
          <w:sz w:val="20"/>
          <w:szCs w:val="20"/>
        </w:rPr>
      </w:pPr>
      <w:r w:rsidRPr="008157BA">
        <w:rPr>
          <w:rFonts w:ascii="Times New Roman" w:hAnsi="Times New Roman"/>
          <w:b/>
          <w:sz w:val="20"/>
          <w:szCs w:val="20"/>
        </w:rPr>
        <w:t>School-Based Cultural Values</w:t>
      </w:r>
    </w:p>
    <w:p w14:paraId="1ACD9C1F"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5CEB1CA3" w14:textId="77777777" w:rsidR="008157BA" w:rsidRPr="008157BA" w:rsidRDefault="008157BA" w:rsidP="008157BA">
      <w:pPr>
        <w:pStyle w:val="AralkYok"/>
        <w:widowControl w:val="0"/>
        <w:suppressAutoHyphens/>
        <w:spacing w:line="360" w:lineRule="auto"/>
        <w:jc w:val="both"/>
        <w:rPr>
          <w:rFonts w:ascii="Times New Roman" w:hAnsi="Times New Roman"/>
          <w:color w:val="FF0000"/>
          <w:sz w:val="20"/>
          <w:szCs w:val="20"/>
        </w:rPr>
      </w:pPr>
      <w:r w:rsidRPr="008157BA">
        <w:rPr>
          <w:rFonts w:ascii="Times New Roman" w:hAnsi="Times New Roman"/>
          <w:sz w:val="20"/>
          <w:szCs w:val="20"/>
        </w:rPr>
        <w:t xml:space="preserve">Individualism and competition </w:t>
      </w:r>
      <w:proofErr w:type="gramStart"/>
      <w:r w:rsidRPr="008157BA">
        <w:rPr>
          <w:rFonts w:ascii="Times New Roman" w:hAnsi="Times New Roman"/>
          <w:sz w:val="20"/>
          <w:szCs w:val="20"/>
        </w:rPr>
        <w:t>have been named</w:t>
      </w:r>
      <w:proofErr w:type="gramEnd"/>
      <w:r w:rsidRPr="008157BA">
        <w:rPr>
          <w:rFonts w:ascii="Times New Roman" w:hAnsi="Times New Roman"/>
          <w:sz w:val="20"/>
          <w:szCs w:val="20"/>
        </w:rPr>
        <w:t xml:space="preserve"> in the literature as prominent cultural values in the U.S. that are also promoted in its institutions (e.g., Phillips et al., 2020; </w:t>
      </w:r>
      <w:proofErr w:type="spellStart"/>
      <w:r w:rsidRPr="008157BA">
        <w:rPr>
          <w:rFonts w:ascii="Times New Roman" w:hAnsi="Times New Roman"/>
          <w:sz w:val="20"/>
          <w:szCs w:val="20"/>
        </w:rPr>
        <w:t>Pinquart</w:t>
      </w:r>
      <w:proofErr w:type="spellEnd"/>
      <w:r w:rsidRPr="008157BA">
        <w:rPr>
          <w:rFonts w:ascii="Times New Roman" w:hAnsi="Times New Roman"/>
          <w:sz w:val="20"/>
          <w:szCs w:val="20"/>
        </w:rPr>
        <w:t xml:space="preserve"> &amp; </w:t>
      </w:r>
      <w:proofErr w:type="spellStart"/>
      <w:r w:rsidRPr="008157BA">
        <w:rPr>
          <w:rFonts w:ascii="Times New Roman" w:hAnsi="Times New Roman"/>
          <w:sz w:val="20"/>
          <w:szCs w:val="20"/>
        </w:rPr>
        <w:t>Kauser</w:t>
      </w:r>
      <w:proofErr w:type="spellEnd"/>
      <w:r w:rsidRPr="008157BA">
        <w:rPr>
          <w:rFonts w:ascii="Times New Roman" w:hAnsi="Times New Roman"/>
          <w:sz w:val="20"/>
          <w:szCs w:val="20"/>
        </w:rPr>
        <w:t xml:space="preserve">, 2018; Stephens et al., 2019). Individualism includes the principles of autonomy, independence, individual recognition, and independent academic achievement (Glass &amp; </w:t>
      </w:r>
      <w:proofErr w:type="spellStart"/>
      <w:r w:rsidRPr="008157BA">
        <w:rPr>
          <w:rFonts w:ascii="Times New Roman" w:hAnsi="Times New Roman"/>
          <w:sz w:val="20"/>
          <w:szCs w:val="20"/>
        </w:rPr>
        <w:t>Rud</w:t>
      </w:r>
      <w:proofErr w:type="spellEnd"/>
      <w:r w:rsidRPr="008157BA">
        <w:rPr>
          <w:rFonts w:ascii="Times New Roman" w:hAnsi="Times New Roman"/>
          <w:sz w:val="20"/>
          <w:szCs w:val="20"/>
        </w:rPr>
        <w:t>, 2012; Greenfield &amp; Quiroz, 2013; Rothstein-</w:t>
      </w:r>
      <w:proofErr w:type="spellStart"/>
      <w:r w:rsidRPr="008157BA">
        <w:rPr>
          <w:rFonts w:ascii="Times New Roman" w:hAnsi="Times New Roman"/>
          <w:sz w:val="20"/>
          <w:szCs w:val="20"/>
        </w:rPr>
        <w:t>Fisch</w:t>
      </w:r>
      <w:proofErr w:type="spellEnd"/>
      <w:r w:rsidRPr="008157BA">
        <w:rPr>
          <w:rFonts w:ascii="Times New Roman" w:hAnsi="Times New Roman"/>
          <w:sz w:val="20"/>
          <w:szCs w:val="20"/>
        </w:rPr>
        <w:t xml:space="preserve"> et al., 2009; Tyler et al., 2008) and </w:t>
      </w:r>
      <w:proofErr w:type="gramStart"/>
      <w:r w:rsidRPr="008157BA">
        <w:rPr>
          <w:rFonts w:ascii="Times New Roman" w:hAnsi="Times New Roman"/>
          <w:sz w:val="20"/>
          <w:szCs w:val="20"/>
        </w:rPr>
        <w:t>is reflected</w:t>
      </w:r>
      <w:proofErr w:type="gramEnd"/>
      <w:r w:rsidRPr="008157BA">
        <w:rPr>
          <w:rFonts w:ascii="Times New Roman" w:hAnsi="Times New Roman"/>
          <w:sz w:val="20"/>
          <w:szCs w:val="20"/>
        </w:rPr>
        <w:t xml:space="preserve"> in educational organizations. For instance, in a study of 261 university administrators, the majority describe their institutional cultures as more independent than interdependent (Stephens et al., </w:t>
      </w:r>
      <w:proofErr w:type="gramStart"/>
      <w:r w:rsidRPr="008157BA">
        <w:rPr>
          <w:rFonts w:ascii="Times New Roman" w:hAnsi="Times New Roman"/>
          <w:sz w:val="20"/>
          <w:szCs w:val="20"/>
        </w:rPr>
        <w:t>2012)</w:t>
      </w:r>
      <w:proofErr w:type="gramEnd"/>
      <w:r w:rsidRPr="008157BA">
        <w:rPr>
          <w:rFonts w:ascii="Times New Roman" w:hAnsi="Times New Roman"/>
          <w:sz w:val="20"/>
          <w:szCs w:val="20"/>
        </w:rPr>
        <w:t xml:space="preserve">. Relatedly, competition is considered </w:t>
      </w:r>
      <w:proofErr w:type="gramStart"/>
      <w:r w:rsidRPr="008157BA">
        <w:rPr>
          <w:rFonts w:ascii="Times New Roman" w:hAnsi="Times New Roman"/>
          <w:sz w:val="20"/>
          <w:szCs w:val="20"/>
        </w:rPr>
        <w:t>to be a</w:t>
      </w:r>
      <w:proofErr w:type="gramEnd"/>
      <w:r w:rsidRPr="008157BA">
        <w:rPr>
          <w:rFonts w:ascii="Times New Roman" w:hAnsi="Times New Roman"/>
          <w:sz w:val="20"/>
          <w:szCs w:val="20"/>
        </w:rPr>
        <w:t xml:space="preserve"> prominent U.S. cultural value (</w:t>
      </w:r>
      <w:proofErr w:type="spellStart"/>
      <w:r w:rsidRPr="008157BA">
        <w:rPr>
          <w:rFonts w:ascii="Times New Roman" w:hAnsi="Times New Roman"/>
          <w:sz w:val="20"/>
          <w:szCs w:val="20"/>
        </w:rPr>
        <w:t>Rogoff</w:t>
      </w:r>
      <w:proofErr w:type="spellEnd"/>
      <w:r w:rsidRPr="008157BA">
        <w:rPr>
          <w:rFonts w:ascii="Times New Roman" w:hAnsi="Times New Roman"/>
          <w:sz w:val="20"/>
          <w:szCs w:val="20"/>
        </w:rPr>
        <w:t xml:space="preserve">, 2003) and is also exhibited in schools, including being a central component of how students are compared and graded (La Roche &amp; </w:t>
      </w:r>
      <w:proofErr w:type="spellStart"/>
      <w:r w:rsidRPr="008157BA">
        <w:rPr>
          <w:rFonts w:ascii="Times New Roman" w:hAnsi="Times New Roman"/>
          <w:sz w:val="20"/>
          <w:szCs w:val="20"/>
        </w:rPr>
        <w:t>Shriberg</w:t>
      </w:r>
      <w:proofErr w:type="spellEnd"/>
      <w:r w:rsidRPr="008157BA">
        <w:rPr>
          <w:rFonts w:ascii="Times New Roman" w:hAnsi="Times New Roman"/>
          <w:sz w:val="20"/>
          <w:szCs w:val="20"/>
        </w:rPr>
        <w:t>, 2004).</w:t>
      </w:r>
      <w:r w:rsidRPr="008157BA">
        <w:rPr>
          <w:rFonts w:ascii="Times New Roman" w:hAnsi="Times New Roman"/>
          <w:color w:val="FF0000"/>
          <w:sz w:val="20"/>
          <w:szCs w:val="20"/>
        </w:rPr>
        <w:t xml:space="preserve"> </w:t>
      </w:r>
    </w:p>
    <w:p w14:paraId="42B68F14"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09BC163"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Prior research has lent support to the salience of individualism and competition in U.S. schools. For instance, Boykin, Albury, et al. (2005) examined the influence of culture on African American and European American low-income students’ perceptions of academic success at two racially integrated urban elementary schools. They found that the European American students were significantly more accepting of individualistic and competitive high achievers than were the African American students, who endorsed communal behaviors considerably more. Furthermore, in their study on prevalent cultural themes observed across six elementary schools, Boykin, Tyler, and Miller (2005) found that individualism was the most frequently occurring cultural theme in 52 classroom observations.</w:t>
      </w:r>
    </w:p>
    <w:p w14:paraId="2256EBFA" w14:textId="77777777" w:rsidR="008157BA" w:rsidRPr="008157BA" w:rsidRDefault="008157BA" w:rsidP="008157BA">
      <w:pPr>
        <w:pStyle w:val="AralkYok"/>
        <w:widowControl w:val="0"/>
        <w:suppressAutoHyphens/>
        <w:spacing w:line="360" w:lineRule="auto"/>
        <w:jc w:val="both"/>
        <w:rPr>
          <w:rFonts w:ascii="Times New Roman" w:hAnsi="Times New Roman"/>
          <w:b/>
          <w:sz w:val="20"/>
          <w:szCs w:val="20"/>
        </w:rPr>
      </w:pPr>
    </w:p>
    <w:p w14:paraId="7BA796C8" w14:textId="77777777" w:rsidR="008157BA" w:rsidRPr="008157BA" w:rsidRDefault="008157BA" w:rsidP="008157BA">
      <w:pPr>
        <w:pStyle w:val="AralkYok"/>
        <w:widowControl w:val="0"/>
        <w:suppressAutoHyphens/>
        <w:spacing w:line="360" w:lineRule="auto"/>
        <w:jc w:val="both"/>
        <w:rPr>
          <w:rFonts w:ascii="Times New Roman" w:hAnsi="Times New Roman"/>
          <w:b/>
          <w:sz w:val="20"/>
          <w:szCs w:val="20"/>
        </w:rPr>
      </w:pPr>
      <w:proofErr w:type="spellStart"/>
      <w:r w:rsidRPr="008157BA">
        <w:rPr>
          <w:rFonts w:ascii="Times New Roman" w:hAnsi="Times New Roman"/>
          <w:b/>
          <w:sz w:val="20"/>
          <w:szCs w:val="20"/>
        </w:rPr>
        <w:t>Latinx</w:t>
      </w:r>
      <w:proofErr w:type="spellEnd"/>
      <w:r w:rsidRPr="008157BA">
        <w:rPr>
          <w:rFonts w:ascii="Times New Roman" w:hAnsi="Times New Roman"/>
          <w:b/>
          <w:sz w:val="20"/>
          <w:szCs w:val="20"/>
        </w:rPr>
        <w:t xml:space="preserve"> Cultural Values</w:t>
      </w:r>
    </w:p>
    <w:p w14:paraId="67506300"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11F2EA05"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In contrast to individualism and competition, collectivism is considered to be one of the most prevalent cultural values present in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communities (e.g., Davis et al., 2018; González-</w:t>
      </w:r>
      <w:proofErr w:type="spellStart"/>
      <w:r w:rsidRPr="008157BA">
        <w:rPr>
          <w:rFonts w:ascii="Times New Roman" w:hAnsi="Times New Roman"/>
          <w:sz w:val="20"/>
          <w:szCs w:val="20"/>
        </w:rPr>
        <w:t>Prendes</w:t>
      </w:r>
      <w:proofErr w:type="spellEnd"/>
      <w:r w:rsidRPr="008157BA">
        <w:rPr>
          <w:rFonts w:ascii="Times New Roman" w:hAnsi="Times New Roman"/>
          <w:sz w:val="20"/>
          <w:szCs w:val="20"/>
        </w:rPr>
        <w:t xml:space="preserve"> et al., 2011; Greenfield et al., 2008; Lopez et al., 2012). Collectivism focuses on the interdependence of people rather than on their independence from each other. It </w:t>
      </w:r>
      <w:proofErr w:type="gramStart"/>
      <w:r w:rsidRPr="008157BA">
        <w:rPr>
          <w:rFonts w:ascii="Times New Roman" w:hAnsi="Times New Roman"/>
          <w:sz w:val="20"/>
          <w:szCs w:val="20"/>
        </w:rPr>
        <w:t>is defined</w:t>
      </w:r>
      <w:proofErr w:type="gramEnd"/>
      <w:r w:rsidRPr="008157BA">
        <w:rPr>
          <w:rFonts w:ascii="Times New Roman" w:hAnsi="Times New Roman"/>
          <w:sz w:val="20"/>
          <w:szCs w:val="20"/>
        </w:rPr>
        <w:t xml:space="preserve"> as “social responsibility…centered on the good of the whole group or family” where “a person’s responsibilities are geared toward advancing or maintaining the group” (Tyler et al., 2008, p. 287). In their study on collectivistic behavior, </w:t>
      </w:r>
      <w:proofErr w:type="spellStart"/>
      <w:r w:rsidRPr="008157BA">
        <w:rPr>
          <w:rFonts w:ascii="Times New Roman" w:hAnsi="Times New Roman"/>
          <w:sz w:val="20"/>
          <w:szCs w:val="20"/>
        </w:rPr>
        <w:t>Mejía-Arauz</w:t>
      </w:r>
      <w:proofErr w:type="spellEnd"/>
      <w:r w:rsidRPr="008157BA">
        <w:rPr>
          <w:rFonts w:ascii="Times New Roman" w:hAnsi="Times New Roman"/>
          <w:sz w:val="20"/>
          <w:szCs w:val="20"/>
        </w:rPr>
        <w:t xml:space="preserve"> et al. (2007) examined the extent to which triads of U.S. children of Mexican and European descent engaged in either cooperative (e.g., at least two children working together) or individualistic (e.g., one child working alone) work styles when given a task to accomplish. They found that Mexican-descent children more often engaged with at least three children while European American children more often worked individually. Additionally, both quantitative and qualitative research has shown that </w:t>
      </w:r>
      <w:r w:rsidRPr="008157BA">
        <w:rPr>
          <w:rFonts w:ascii="Times New Roman" w:hAnsi="Times New Roman"/>
          <w:sz w:val="20"/>
          <w:szCs w:val="20"/>
        </w:rPr>
        <w:lastRenderedPageBreak/>
        <w:t xml:space="preserve">collectivism </w:t>
      </w:r>
      <w:proofErr w:type="gramStart"/>
      <w:r w:rsidRPr="008157BA">
        <w:rPr>
          <w:rFonts w:ascii="Times New Roman" w:hAnsi="Times New Roman"/>
          <w:sz w:val="20"/>
          <w:szCs w:val="20"/>
        </w:rPr>
        <w:t>is endorsed</w:t>
      </w:r>
      <w:proofErr w:type="gramEnd"/>
      <w:r w:rsidRPr="008157BA">
        <w:rPr>
          <w:rFonts w:ascii="Times New Roman" w:hAnsi="Times New Roman"/>
          <w:sz w:val="20"/>
          <w:szCs w:val="20"/>
        </w:rPr>
        <w:t xml:space="preserve"> among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college students (e.g., Arevalo et al., 2016; Natal et al., 2021). Other research with over 300 college students found that first-generation students endorsed interdependence when they began college more so than continuing-generation students and that doing so decreased their sense of institutional fit and predicted lower grade point average (GPA) at college graduation (Phillips et al., 2020).</w:t>
      </w:r>
    </w:p>
    <w:p w14:paraId="2F086E53"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17D3BF1" w14:textId="77777777" w:rsidR="008157BA" w:rsidRPr="008157BA" w:rsidRDefault="008157BA" w:rsidP="008157BA">
      <w:pPr>
        <w:widowControl w:val="0"/>
        <w:spacing w:line="360" w:lineRule="auto"/>
        <w:rPr>
          <w:rFonts w:cs="Times New Roman"/>
          <w:b/>
        </w:rPr>
      </w:pPr>
      <w:r w:rsidRPr="008157BA">
        <w:rPr>
          <w:rFonts w:cs="Times New Roman"/>
          <w:b/>
          <w:sz w:val="24"/>
        </w:rPr>
        <w:t>Method</w:t>
      </w:r>
    </w:p>
    <w:p w14:paraId="6C718BED"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Participants </w:t>
      </w:r>
    </w:p>
    <w:p w14:paraId="5B11FB35" w14:textId="77777777" w:rsidR="008157BA" w:rsidRPr="008157BA" w:rsidRDefault="008157BA" w:rsidP="008157BA">
      <w:pPr>
        <w:widowControl w:val="0"/>
        <w:spacing w:line="360" w:lineRule="auto"/>
        <w:rPr>
          <w:rFonts w:eastAsia="Times New Roman" w:cs="Times New Roman"/>
          <w:szCs w:val="20"/>
        </w:rPr>
      </w:pPr>
    </w:p>
    <w:p w14:paraId="5BDF00AF"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Participants in the current study were 334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(55% male, 44% female) students recruited from three high schools in three school districts in the U.S. Southwest. Males were overrepresented among the participants as the percentages of males and females in the three schools were approximately equal (49% - 50% each), although the </w:t>
      </w:r>
      <w:proofErr w:type="spellStart"/>
      <w:r w:rsidRPr="008157BA">
        <w:rPr>
          <w:rFonts w:eastAsia="Times New Roman" w:cs="Times New Roman"/>
          <w:szCs w:val="20"/>
        </w:rPr>
        <w:t>ethnicitiy</w:t>
      </w:r>
      <w:proofErr w:type="spellEnd"/>
      <w:r w:rsidRPr="008157BA">
        <w:rPr>
          <w:rFonts w:eastAsia="Times New Roman" w:cs="Times New Roman"/>
          <w:szCs w:val="20"/>
        </w:rPr>
        <w:t xml:space="preserve"> of the participants was representative of that of the schools’ student bodies. Participants were self-selected. Based on a ratio of 10 participants for each of the </w:t>
      </w:r>
      <w:proofErr w:type="gramStart"/>
      <w:r w:rsidRPr="008157BA">
        <w:rPr>
          <w:rFonts w:eastAsia="Times New Roman" w:cs="Times New Roman"/>
          <w:szCs w:val="20"/>
        </w:rPr>
        <w:t>nine predictor</w:t>
      </w:r>
      <w:proofErr w:type="gramEnd"/>
      <w:r w:rsidRPr="008157BA">
        <w:rPr>
          <w:rFonts w:eastAsia="Times New Roman" w:cs="Times New Roman"/>
          <w:szCs w:val="20"/>
        </w:rPr>
        <w:t xml:space="preserve"> variables examined in the study, the number of participants in the study was considered acceptable (Brace et al., 2000).</w:t>
      </w:r>
    </w:p>
    <w:p w14:paraId="152A3103" w14:textId="77777777" w:rsidR="008157BA" w:rsidRPr="008157BA" w:rsidRDefault="008157BA" w:rsidP="008157BA">
      <w:pPr>
        <w:widowControl w:val="0"/>
        <w:spacing w:line="360" w:lineRule="auto"/>
        <w:rPr>
          <w:rFonts w:eastAsia="Times New Roman" w:cs="Times New Roman"/>
          <w:szCs w:val="20"/>
        </w:rPr>
      </w:pPr>
    </w:p>
    <w:p w14:paraId="0EA70819" w14:textId="640A7C41"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Most participants reported being born in the U.S. (</w:t>
      </w:r>
      <w:proofErr w:type="gramStart"/>
      <w:r w:rsidRPr="008157BA">
        <w:rPr>
          <w:rFonts w:eastAsia="Times New Roman" w:cs="Times New Roman"/>
          <w:szCs w:val="20"/>
        </w:rPr>
        <w:t>92%),</w:t>
      </w:r>
      <w:proofErr w:type="gramEnd"/>
      <w:r w:rsidRPr="008157BA">
        <w:rPr>
          <w:rFonts w:eastAsia="Times New Roman" w:cs="Times New Roman"/>
          <w:szCs w:val="20"/>
        </w:rPr>
        <w:t xml:space="preserve"> and a large percentage identified English as the primary language they spoke at home (75%). Furthermore, 64% of participants stated that at least one of their parents was born in the United States. The majority also reported that they expected to graduate from a 4-year college or beyond (77%). In contrast, merely 15% of their parents had done so. Nearly three-quarters of students had not taken any Advanced Placement (AP) courses (72%), though 85% had passed three or more mathematics courses and, correspondingly, 83% had passed a state-mandated mathematics assessment required for graduation. The mean GPA for the sample was 2.93. The characteristics of student participants </w:t>
      </w:r>
      <w:proofErr w:type="gramStart"/>
      <w:r w:rsidRPr="008157BA">
        <w:rPr>
          <w:rFonts w:eastAsia="Times New Roman" w:cs="Times New Roman"/>
          <w:szCs w:val="20"/>
        </w:rPr>
        <w:t>are reported</w:t>
      </w:r>
      <w:proofErr w:type="gramEnd"/>
      <w:r w:rsidRPr="008157BA">
        <w:rPr>
          <w:rFonts w:eastAsia="Times New Roman" w:cs="Times New Roman"/>
          <w:szCs w:val="20"/>
        </w:rPr>
        <w:t xml:space="preserve"> in Table 1. </w:t>
      </w:r>
    </w:p>
    <w:p w14:paraId="014DA541" w14:textId="77777777" w:rsidR="008157BA" w:rsidRPr="008157BA" w:rsidRDefault="008157BA" w:rsidP="008157BA">
      <w:pPr>
        <w:widowControl w:val="0"/>
        <w:spacing w:line="360" w:lineRule="auto"/>
        <w:rPr>
          <w:rFonts w:eastAsia="Times New Roman" w:cs="Times New Roman"/>
          <w:szCs w:val="20"/>
        </w:rPr>
      </w:pPr>
    </w:p>
    <w:p w14:paraId="38EE6FEA" w14:textId="569A3C75" w:rsidR="008157BA" w:rsidRPr="008157BA" w:rsidRDefault="008157BA" w:rsidP="008157BA">
      <w:pPr>
        <w:widowControl w:val="0"/>
        <w:spacing w:line="360" w:lineRule="auto"/>
        <w:jc w:val="center"/>
        <w:rPr>
          <w:rFonts w:eastAsia="Times New Roman" w:cs="Times New Roman"/>
          <w:szCs w:val="20"/>
        </w:rPr>
      </w:pPr>
      <w:r w:rsidRPr="008157BA">
        <w:rPr>
          <w:rFonts w:cs="Times New Roman"/>
          <w:szCs w:val="20"/>
        </w:rPr>
        <w:t>Table 1. Characteristics of Study Participants</w:t>
      </w:r>
    </w:p>
    <w:tbl>
      <w:tblPr>
        <w:tblW w:w="0" w:type="auto"/>
        <w:jc w:val="center"/>
        <w:tblLook w:val="04A0" w:firstRow="1" w:lastRow="0" w:firstColumn="1" w:lastColumn="0" w:noHBand="0" w:noVBand="1"/>
      </w:tblPr>
      <w:tblGrid>
        <w:gridCol w:w="5358"/>
        <w:gridCol w:w="694"/>
        <w:gridCol w:w="592"/>
        <w:gridCol w:w="760"/>
        <w:gridCol w:w="760"/>
      </w:tblGrid>
      <w:tr w:rsidR="008157BA" w:rsidRPr="008157BA" w14:paraId="52633F38" w14:textId="77777777" w:rsidTr="008157BA">
        <w:trPr>
          <w:tblHeader/>
          <w:jc w:val="center"/>
        </w:trPr>
        <w:tc>
          <w:tcPr>
            <w:tcW w:w="5358" w:type="dxa"/>
            <w:tcBorders>
              <w:top w:val="single" w:sz="4" w:space="0" w:color="auto"/>
              <w:bottom w:val="single" w:sz="4" w:space="0" w:color="auto"/>
            </w:tcBorders>
            <w:shd w:val="clear" w:color="auto" w:fill="auto"/>
          </w:tcPr>
          <w:p w14:paraId="12914BBB"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c>
          <w:tcPr>
            <w:tcW w:w="0" w:type="auto"/>
            <w:gridSpan w:val="4"/>
            <w:tcBorders>
              <w:top w:val="single" w:sz="4" w:space="0" w:color="auto"/>
              <w:bottom w:val="single" w:sz="4" w:space="0" w:color="auto"/>
            </w:tcBorders>
            <w:shd w:val="clear" w:color="auto" w:fill="auto"/>
          </w:tcPr>
          <w:p w14:paraId="6B12FC3A"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Sample characteristics (</w:t>
            </w:r>
            <w:r w:rsidRPr="008157BA">
              <w:rPr>
                <w:rFonts w:ascii="Times New Roman" w:hAnsi="Times New Roman"/>
                <w:i/>
                <w:sz w:val="20"/>
                <w:szCs w:val="20"/>
              </w:rPr>
              <w:t>n</w:t>
            </w:r>
            <w:r w:rsidRPr="008157BA">
              <w:rPr>
                <w:rFonts w:ascii="Times New Roman" w:hAnsi="Times New Roman"/>
                <w:sz w:val="20"/>
                <w:szCs w:val="20"/>
              </w:rPr>
              <w:t xml:space="preserve"> = 334)</w:t>
            </w:r>
          </w:p>
        </w:tc>
      </w:tr>
      <w:tr w:rsidR="008157BA" w:rsidRPr="008157BA" w14:paraId="3F2CAB01" w14:textId="77777777" w:rsidTr="008157BA">
        <w:trPr>
          <w:tblHeader/>
          <w:jc w:val="center"/>
        </w:trPr>
        <w:tc>
          <w:tcPr>
            <w:tcW w:w="5358" w:type="dxa"/>
            <w:tcBorders>
              <w:top w:val="single" w:sz="4" w:space="0" w:color="auto"/>
              <w:bottom w:val="single" w:sz="4" w:space="0" w:color="auto"/>
            </w:tcBorders>
            <w:shd w:val="clear" w:color="auto" w:fill="auto"/>
          </w:tcPr>
          <w:p w14:paraId="447D34D0"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Variable</w:t>
            </w:r>
          </w:p>
        </w:tc>
        <w:tc>
          <w:tcPr>
            <w:tcW w:w="0" w:type="auto"/>
            <w:tcBorders>
              <w:top w:val="single" w:sz="4" w:space="0" w:color="auto"/>
              <w:bottom w:val="single" w:sz="4" w:space="0" w:color="auto"/>
            </w:tcBorders>
            <w:shd w:val="clear" w:color="auto" w:fill="auto"/>
          </w:tcPr>
          <w:p w14:paraId="125FF7DE" w14:textId="77777777" w:rsidR="008157BA" w:rsidRPr="008157BA" w:rsidRDefault="008157BA" w:rsidP="008157BA">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n</w:t>
            </w:r>
          </w:p>
        </w:tc>
        <w:tc>
          <w:tcPr>
            <w:tcW w:w="0" w:type="auto"/>
            <w:tcBorders>
              <w:top w:val="single" w:sz="4" w:space="0" w:color="auto"/>
              <w:bottom w:val="single" w:sz="4" w:space="0" w:color="auto"/>
            </w:tcBorders>
            <w:shd w:val="clear" w:color="auto" w:fill="auto"/>
          </w:tcPr>
          <w:p w14:paraId="06B4AD2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w:t>
            </w:r>
            <w:r w:rsidRPr="008157BA">
              <w:rPr>
                <w:rFonts w:ascii="Times New Roman" w:hAnsi="Times New Roman"/>
                <w:sz w:val="20"/>
                <w:szCs w:val="20"/>
                <w:vertAlign w:val="superscript"/>
              </w:rPr>
              <w:t>a</w:t>
            </w:r>
          </w:p>
        </w:tc>
        <w:tc>
          <w:tcPr>
            <w:tcW w:w="0" w:type="auto"/>
            <w:tcBorders>
              <w:top w:val="single" w:sz="4" w:space="0" w:color="auto"/>
              <w:bottom w:val="single" w:sz="4" w:space="0" w:color="auto"/>
            </w:tcBorders>
            <w:shd w:val="clear" w:color="auto" w:fill="auto"/>
          </w:tcPr>
          <w:p w14:paraId="5C62AEA4" w14:textId="77777777" w:rsidR="008157BA" w:rsidRPr="008157BA" w:rsidRDefault="008157BA" w:rsidP="008157BA">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M</w:t>
            </w:r>
          </w:p>
        </w:tc>
        <w:tc>
          <w:tcPr>
            <w:tcW w:w="0" w:type="auto"/>
            <w:tcBorders>
              <w:top w:val="single" w:sz="4" w:space="0" w:color="auto"/>
              <w:bottom w:val="single" w:sz="4" w:space="0" w:color="auto"/>
            </w:tcBorders>
            <w:shd w:val="clear" w:color="auto" w:fill="auto"/>
          </w:tcPr>
          <w:p w14:paraId="50D2B9BF" w14:textId="77777777" w:rsidR="008157BA" w:rsidRPr="008157BA" w:rsidRDefault="008157BA" w:rsidP="008157BA">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SD</w:t>
            </w:r>
          </w:p>
        </w:tc>
      </w:tr>
      <w:tr w:rsidR="008157BA" w:rsidRPr="008157BA" w14:paraId="3464E545" w14:textId="77777777" w:rsidTr="008157BA">
        <w:trPr>
          <w:jc w:val="center"/>
        </w:trPr>
        <w:tc>
          <w:tcPr>
            <w:tcW w:w="5358" w:type="dxa"/>
            <w:tcBorders>
              <w:top w:val="single" w:sz="4" w:space="0" w:color="auto"/>
            </w:tcBorders>
            <w:shd w:val="clear" w:color="auto" w:fill="auto"/>
          </w:tcPr>
          <w:p w14:paraId="2FA91E4E"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Socio-demographic variables</w:t>
            </w:r>
          </w:p>
        </w:tc>
        <w:tc>
          <w:tcPr>
            <w:tcW w:w="0" w:type="auto"/>
            <w:tcBorders>
              <w:top w:val="single" w:sz="4" w:space="0" w:color="auto"/>
            </w:tcBorders>
            <w:shd w:val="clear" w:color="auto" w:fill="auto"/>
          </w:tcPr>
          <w:p w14:paraId="05FC611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tcBorders>
              <w:top w:val="single" w:sz="4" w:space="0" w:color="auto"/>
            </w:tcBorders>
            <w:shd w:val="clear" w:color="auto" w:fill="auto"/>
          </w:tcPr>
          <w:p w14:paraId="3E267A04"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tcBorders>
              <w:top w:val="single" w:sz="4" w:space="0" w:color="auto"/>
            </w:tcBorders>
            <w:shd w:val="clear" w:color="auto" w:fill="auto"/>
          </w:tcPr>
          <w:p w14:paraId="6523B52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tcBorders>
              <w:top w:val="single" w:sz="4" w:space="0" w:color="auto"/>
            </w:tcBorders>
            <w:shd w:val="clear" w:color="auto" w:fill="auto"/>
          </w:tcPr>
          <w:p w14:paraId="25EA9BBA"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6E0F220F" w14:textId="77777777" w:rsidTr="008157BA">
        <w:trPr>
          <w:jc w:val="center"/>
        </w:trPr>
        <w:tc>
          <w:tcPr>
            <w:tcW w:w="5358" w:type="dxa"/>
            <w:shd w:val="clear" w:color="auto" w:fill="auto"/>
          </w:tcPr>
          <w:p w14:paraId="1DBC5279"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Gender</w:t>
            </w:r>
          </w:p>
        </w:tc>
        <w:tc>
          <w:tcPr>
            <w:tcW w:w="0" w:type="auto"/>
            <w:shd w:val="clear" w:color="auto" w:fill="auto"/>
          </w:tcPr>
          <w:p w14:paraId="5CB4AD9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A747E8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227DB5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E17471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29C3AD8B" w14:textId="77777777" w:rsidTr="008157BA">
        <w:trPr>
          <w:jc w:val="center"/>
        </w:trPr>
        <w:tc>
          <w:tcPr>
            <w:tcW w:w="5358" w:type="dxa"/>
            <w:shd w:val="clear" w:color="auto" w:fill="auto"/>
          </w:tcPr>
          <w:p w14:paraId="559A8F16"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Male</w:t>
            </w:r>
          </w:p>
        </w:tc>
        <w:tc>
          <w:tcPr>
            <w:tcW w:w="0" w:type="auto"/>
            <w:shd w:val="clear" w:color="auto" w:fill="auto"/>
          </w:tcPr>
          <w:p w14:paraId="25701FBA"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182</w:t>
            </w:r>
          </w:p>
        </w:tc>
        <w:tc>
          <w:tcPr>
            <w:tcW w:w="0" w:type="auto"/>
            <w:shd w:val="clear" w:color="auto" w:fill="auto"/>
          </w:tcPr>
          <w:p w14:paraId="597DE92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55</w:t>
            </w:r>
          </w:p>
        </w:tc>
        <w:tc>
          <w:tcPr>
            <w:tcW w:w="0" w:type="auto"/>
            <w:shd w:val="clear" w:color="auto" w:fill="auto"/>
          </w:tcPr>
          <w:p w14:paraId="4E665B0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7BFF26A"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371BA5C4" w14:textId="77777777" w:rsidTr="008157BA">
        <w:trPr>
          <w:jc w:val="center"/>
        </w:trPr>
        <w:tc>
          <w:tcPr>
            <w:tcW w:w="5358" w:type="dxa"/>
            <w:shd w:val="clear" w:color="auto" w:fill="auto"/>
          </w:tcPr>
          <w:p w14:paraId="52E56996"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Female</w:t>
            </w:r>
          </w:p>
        </w:tc>
        <w:tc>
          <w:tcPr>
            <w:tcW w:w="0" w:type="auto"/>
            <w:shd w:val="clear" w:color="auto" w:fill="auto"/>
          </w:tcPr>
          <w:p w14:paraId="4610934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151</w:t>
            </w:r>
          </w:p>
        </w:tc>
        <w:tc>
          <w:tcPr>
            <w:tcW w:w="0" w:type="auto"/>
            <w:shd w:val="clear" w:color="auto" w:fill="auto"/>
          </w:tcPr>
          <w:p w14:paraId="04EE16CF"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45</w:t>
            </w:r>
          </w:p>
        </w:tc>
        <w:tc>
          <w:tcPr>
            <w:tcW w:w="0" w:type="auto"/>
            <w:shd w:val="clear" w:color="auto" w:fill="auto"/>
          </w:tcPr>
          <w:p w14:paraId="3CEDAFC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57D686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056F09D4" w14:textId="77777777" w:rsidTr="008157BA">
        <w:trPr>
          <w:jc w:val="center"/>
        </w:trPr>
        <w:tc>
          <w:tcPr>
            <w:tcW w:w="5358" w:type="dxa"/>
            <w:shd w:val="clear" w:color="auto" w:fill="auto"/>
          </w:tcPr>
          <w:p w14:paraId="3AB3225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Primary language spoken at home</w:t>
            </w:r>
          </w:p>
        </w:tc>
        <w:tc>
          <w:tcPr>
            <w:tcW w:w="0" w:type="auto"/>
            <w:shd w:val="clear" w:color="auto" w:fill="auto"/>
          </w:tcPr>
          <w:p w14:paraId="0538A6F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96B13C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BE260E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6AD67A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555E9043" w14:textId="77777777" w:rsidTr="008157BA">
        <w:trPr>
          <w:jc w:val="center"/>
        </w:trPr>
        <w:tc>
          <w:tcPr>
            <w:tcW w:w="5358" w:type="dxa"/>
            <w:shd w:val="clear" w:color="auto" w:fill="auto"/>
          </w:tcPr>
          <w:p w14:paraId="0FD8C36A"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English</w:t>
            </w:r>
          </w:p>
        </w:tc>
        <w:tc>
          <w:tcPr>
            <w:tcW w:w="0" w:type="auto"/>
            <w:shd w:val="clear" w:color="auto" w:fill="auto"/>
          </w:tcPr>
          <w:p w14:paraId="09CD723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248</w:t>
            </w:r>
          </w:p>
        </w:tc>
        <w:tc>
          <w:tcPr>
            <w:tcW w:w="0" w:type="auto"/>
            <w:shd w:val="clear" w:color="auto" w:fill="auto"/>
          </w:tcPr>
          <w:p w14:paraId="29A4082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75</w:t>
            </w:r>
          </w:p>
        </w:tc>
        <w:tc>
          <w:tcPr>
            <w:tcW w:w="0" w:type="auto"/>
            <w:shd w:val="clear" w:color="auto" w:fill="auto"/>
          </w:tcPr>
          <w:p w14:paraId="14DA1F1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EE72AB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72056892" w14:textId="77777777" w:rsidTr="008157BA">
        <w:trPr>
          <w:jc w:val="center"/>
        </w:trPr>
        <w:tc>
          <w:tcPr>
            <w:tcW w:w="5358" w:type="dxa"/>
            <w:shd w:val="clear" w:color="auto" w:fill="auto"/>
          </w:tcPr>
          <w:p w14:paraId="27D135C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Not English</w:t>
            </w:r>
          </w:p>
        </w:tc>
        <w:tc>
          <w:tcPr>
            <w:tcW w:w="0" w:type="auto"/>
            <w:shd w:val="clear" w:color="auto" w:fill="auto"/>
          </w:tcPr>
          <w:p w14:paraId="2007F7A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85</w:t>
            </w:r>
          </w:p>
        </w:tc>
        <w:tc>
          <w:tcPr>
            <w:tcW w:w="0" w:type="auto"/>
            <w:shd w:val="clear" w:color="auto" w:fill="auto"/>
          </w:tcPr>
          <w:p w14:paraId="6CB52AB1"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26</w:t>
            </w:r>
          </w:p>
        </w:tc>
        <w:tc>
          <w:tcPr>
            <w:tcW w:w="0" w:type="auto"/>
            <w:shd w:val="clear" w:color="auto" w:fill="auto"/>
          </w:tcPr>
          <w:p w14:paraId="7D33C4C1"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6101514"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34A140BE" w14:textId="77777777" w:rsidTr="008157BA">
        <w:trPr>
          <w:jc w:val="center"/>
        </w:trPr>
        <w:tc>
          <w:tcPr>
            <w:tcW w:w="5358" w:type="dxa"/>
            <w:shd w:val="clear" w:color="auto" w:fill="auto"/>
          </w:tcPr>
          <w:p w14:paraId="54898DB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Student born in the U.S.</w:t>
            </w:r>
          </w:p>
        </w:tc>
        <w:tc>
          <w:tcPr>
            <w:tcW w:w="0" w:type="auto"/>
            <w:shd w:val="clear" w:color="auto" w:fill="auto"/>
          </w:tcPr>
          <w:p w14:paraId="3C0F90A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C2D66A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4C8FF66"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DFAABE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13D4AFE1" w14:textId="77777777" w:rsidTr="008157BA">
        <w:trPr>
          <w:jc w:val="center"/>
        </w:trPr>
        <w:tc>
          <w:tcPr>
            <w:tcW w:w="5358" w:type="dxa"/>
            <w:shd w:val="clear" w:color="auto" w:fill="auto"/>
          </w:tcPr>
          <w:p w14:paraId="293D769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0" w:type="auto"/>
            <w:shd w:val="clear" w:color="auto" w:fill="auto"/>
          </w:tcPr>
          <w:p w14:paraId="35FC4AB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298</w:t>
            </w:r>
          </w:p>
        </w:tc>
        <w:tc>
          <w:tcPr>
            <w:tcW w:w="0" w:type="auto"/>
            <w:shd w:val="clear" w:color="auto" w:fill="auto"/>
          </w:tcPr>
          <w:p w14:paraId="2ACB149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92</w:t>
            </w:r>
          </w:p>
        </w:tc>
        <w:tc>
          <w:tcPr>
            <w:tcW w:w="0" w:type="auto"/>
            <w:shd w:val="clear" w:color="auto" w:fill="auto"/>
          </w:tcPr>
          <w:p w14:paraId="4BE2A57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0F2F60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1778A3AF" w14:textId="77777777" w:rsidTr="008157BA">
        <w:trPr>
          <w:jc w:val="center"/>
        </w:trPr>
        <w:tc>
          <w:tcPr>
            <w:tcW w:w="5358" w:type="dxa"/>
            <w:shd w:val="clear" w:color="auto" w:fill="auto"/>
          </w:tcPr>
          <w:p w14:paraId="616BF598"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0" w:type="auto"/>
            <w:shd w:val="clear" w:color="auto" w:fill="auto"/>
          </w:tcPr>
          <w:p w14:paraId="05B9C48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26</w:t>
            </w:r>
          </w:p>
        </w:tc>
        <w:tc>
          <w:tcPr>
            <w:tcW w:w="0" w:type="auto"/>
            <w:shd w:val="clear" w:color="auto" w:fill="auto"/>
          </w:tcPr>
          <w:p w14:paraId="42B52FA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w:t>
            </w:r>
          </w:p>
        </w:tc>
        <w:tc>
          <w:tcPr>
            <w:tcW w:w="0" w:type="auto"/>
            <w:shd w:val="clear" w:color="auto" w:fill="auto"/>
          </w:tcPr>
          <w:p w14:paraId="3BF1235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2CE63B2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4CC6EED0" w14:textId="77777777" w:rsidTr="008157BA">
        <w:trPr>
          <w:jc w:val="center"/>
        </w:trPr>
        <w:tc>
          <w:tcPr>
            <w:tcW w:w="5358" w:type="dxa"/>
            <w:shd w:val="clear" w:color="auto" w:fill="auto"/>
          </w:tcPr>
          <w:p w14:paraId="0A2C39D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At least one parent born in the U.S.</w:t>
            </w:r>
          </w:p>
        </w:tc>
        <w:tc>
          <w:tcPr>
            <w:tcW w:w="0" w:type="auto"/>
            <w:shd w:val="clear" w:color="auto" w:fill="auto"/>
          </w:tcPr>
          <w:p w14:paraId="5DB452C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9D7D24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7AA42D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79D3C8B0"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1394A277" w14:textId="77777777" w:rsidTr="008157BA">
        <w:trPr>
          <w:jc w:val="center"/>
        </w:trPr>
        <w:tc>
          <w:tcPr>
            <w:tcW w:w="5358" w:type="dxa"/>
            <w:shd w:val="clear" w:color="auto" w:fill="auto"/>
          </w:tcPr>
          <w:p w14:paraId="06C48A8A"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0" w:type="auto"/>
            <w:shd w:val="clear" w:color="auto" w:fill="auto"/>
          </w:tcPr>
          <w:p w14:paraId="3D0395F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205</w:t>
            </w:r>
          </w:p>
        </w:tc>
        <w:tc>
          <w:tcPr>
            <w:tcW w:w="0" w:type="auto"/>
            <w:shd w:val="clear" w:color="auto" w:fill="auto"/>
          </w:tcPr>
          <w:p w14:paraId="4D9D09A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64</w:t>
            </w:r>
          </w:p>
        </w:tc>
        <w:tc>
          <w:tcPr>
            <w:tcW w:w="0" w:type="auto"/>
            <w:shd w:val="clear" w:color="auto" w:fill="auto"/>
          </w:tcPr>
          <w:p w14:paraId="1C88659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7AD6F5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540BF237" w14:textId="77777777" w:rsidTr="008157BA">
        <w:trPr>
          <w:jc w:val="center"/>
        </w:trPr>
        <w:tc>
          <w:tcPr>
            <w:tcW w:w="5358" w:type="dxa"/>
            <w:shd w:val="clear" w:color="auto" w:fill="auto"/>
          </w:tcPr>
          <w:p w14:paraId="4829648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0" w:type="auto"/>
            <w:shd w:val="clear" w:color="auto" w:fill="auto"/>
          </w:tcPr>
          <w:p w14:paraId="7701885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117</w:t>
            </w:r>
          </w:p>
        </w:tc>
        <w:tc>
          <w:tcPr>
            <w:tcW w:w="0" w:type="auto"/>
            <w:shd w:val="clear" w:color="auto" w:fill="auto"/>
          </w:tcPr>
          <w:p w14:paraId="10D79B5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36</w:t>
            </w:r>
          </w:p>
        </w:tc>
        <w:tc>
          <w:tcPr>
            <w:tcW w:w="0" w:type="auto"/>
            <w:shd w:val="clear" w:color="auto" w:fill="auto"/>
          </w:tcPr>
          <w:p w14:paraId="3A701614"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790BC831"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2D4A4898" w14:textId="77777777" w:rsidTr="008157BA">
        <w:trPr>
          <w:jc w:val="center"/>
        </w:trPr>
        <w:tc>
          <w:tcPr>
            <w:tcW w:w="5358" w:type="dxa"/>
            <w:shd w:val="clear" w:color="auto" w:fill="auto"/>
          </w:tcPr>
          <w:p w14:paraId="69580FE7"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Student expected level of education</w:t>
            </w:r>
          </w:p>
        </w:tc>
        <w:tc>
          <w:tcPr>
            <w:tcW w:w="0" w:type="auto"/>
            <w:shd w:val="clear" w:color="auto" w:fill="auto"/>
          </w:tcPr>
          <w:p w14:paraId="72670EA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76A9C83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A723AE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B4A5276"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475FD712" w14:textId="77777777" w:rsidTr="008157BA">
        <w:trPr>
          <w:jc w:val="center"/>
        </w:trPr>
        <w:tc>
          <w:tcPr>
            <w:tcW w:w="5358" w:type="dxa"/>
            <w:shd w:val="clear" w:color="auto" w:fill="auto"/>
          </w:tcPr>
          <w:p w14:paraId="15CFACE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lastRenderedPageBreak/>
              <w:t xml:space="preserve">    Complete a 4-year college degree</w:t>
            </w:r>
          </w:p>
        </w:tc>
        <w:tc>
          <w:tcPr>
            <w:tcW w:w="0" w:type="auto"/>
            <w:shd w:val="clear" w:color="auto" w:fill="auto"/>
          </w:tcPr>
          <w:p w14:paraId="5B2846BF"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257</w:t>
            </w:r>
          </w:p>
        </w:tc>
        <w:tc>
          <w:tcPr>
            <w:tcW w:w="0" w:type="auto"/>
            <w:shd w:val="clear" w:color="auto" w:fill="auto"/>
          </w:tcPr>
          <w:p w14:paraId="332EF5C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77</w:t>
            </w:r>
          </w:p>
        </w:tc>
        <w:tc>
          <w:tcPr>
            <w:tcW w:w="0" w:type="auto"/>
            <w:shd w:val="clear" w:color="auto" w:fill="auto"/>
          </w:tcPr>
          <w:p w14:paraId="2B9714A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E002A3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65250A1D" w14:textId="77777777" w:rsidTr="008157BA">
        <w:trPr>
          <w:jc w:val="center"/>
        </w:trPr>
        <w:tc>
          <w:tcPr>
            <w:tcW w:w="5358" w:type="dxa"/>
            <w:shd w:val="clear" w:color="auto" w:fill="auto"/>
          </w:tcPr>
          <w:p w14:paraId="42CAA0A2"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Not complete a 4-year college degree</w:t>
            </w:r>
          </w:p>
        </w:tc>
        <w:tc>
          <w:tcPr>
            <w:tcW w:w="0" w:type="auto"/>
            <w:shd w:val="clear" w:color="auto" w:fill="auto"/>
          </w:tcPr>
          <w:p w14:paraId="7281518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73</w:t>
            </w:r>
          </w:p>
        </w:tc>
        <w:tc>
          <w:tcPr>
            <w:tcW w:w="0" w:type="auto"/>
            <w:shd w:val="clear" w:color="auto" w:fill="auto"/>
          </w:tcPr>
          <w:p w14:paraId="66225ADF"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23</w:t>
            </w:r>
          </w:p>
        </w:tc>
        <w:tc>
          <w:tcPr>
            <w:tcW w:w="0" w:type="auto"/>
            <w:shd w:val="clear" w:color="auto" w:fill="auto"/>
          </w:tcPr>
          <w:p w14:paraId="4F05165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136248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00A4F69E" w14:textId="77777777" w:rsidTr="008157BA">
        <w:trPr>
          <w:jc w:val="center"/>
        </w:trPr>
        <w:tc>
          <w:tcPr>
            <w:tcW w:w="5358" w:type="dxa"/>
            <w:shd w:val="clear" w:color="auto" w:fill="auto"/>
          </w:tcPr>
          <w:p w14:paraId="5901F30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Education level of at least one parent</w:t>
            </w:r>
          </w:p>
        </w:tc>
        <w:tc>
          <w:tcPr>
            <w:tcW w:w="0" w:type="auto"/>
            <w:shd w:val="clear" w:color="auto" w:fill="auto"/>
          </w:tcPr>
          <w:p w14:paraId="3AD4E3A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42E598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12D846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A3D66F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2394BF04" w14:textId="77777777" w:rsidTr="008157BA">
        <w:trPr>
          <w:jc w:val="center"/>
        </w:trPr>
        <w:tc>
          <w:tcPr>
            <w:tcW w:w="5358" w:type="dxa"/>
            <w:shd w:val="clear" w:color="auto" w:fill="auto"/>
          </w:tcPr>
          <w:p w14:paraId="5395C4CB"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Completed a 4-year college degree</w:t>
            </w:r>
          </w:p>
        </w:tc>
        <w:tc>
          <w:tcPr>
            <w:tcW w:w="0" w:type="auto"/>
            <w:shd w:val="clear" w:color="auto" w:fill="auto"/>
          </w:tcPr>
          <w:p w14:paraId="33AB7ED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49</w:t>
            </w:r>
          </w:p>
        </w:tc>
        <w:tc>
          <w:tcPr>
            <w:tcW w:w="0" w:type="auto"/>
            <w:shd w:val="clear" w:color="auto" w:fill="auto"/>
          </w:tcPr>
          <w:p w14:paraId="552D839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15</w:t>
            </w:r>
          </w:p>
        </w:tc>
        <w:tc>
          <w:tcPr>
            <w:tcW w:w="0" w:type="auto"/>
            <w:shd w:val="clear" w:color="auto" w:fill="auto"/>
          </w:tcPr>
          <w:p w14:paraId="4E1D823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D1902F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63D91687" w14:textId="77777777" w:rsidTr="008157BA">
        <w:trPr>
          <w:jc w:val="center"/>
        </w:trPr>
        <w:tc>
          <w:tcPr>
            <w:tcW w:w="5358" w:type="dxa"/>
            <w:shd w:val="clear" w:color="auto" w:fill="auto"/>
          </w:tcPr>
          <w:p w14:paraId="1C70AFC8"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Did not complete a 4-year college degree</w:t>
            </w:r>
          </w:p>
        </w:tc>
        <w:tc>
          <w:tcPr>
            <w:tcW w:w="0" w:type="auto"/>
            <w:shd w:val="clear" w:color="auto" w:fill="auto"/>
          </w:tcPr>
          <w:p w14:paraId="2A144F6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276</w:t>
            </w:r>
          </w:p>
        </w:tc>
        <w:tc>
          <w:tcPr>
            <w:tcW w:w="0" w:type="auto"/>
            <w:shd w:val="clear" w:color="auto" w:fill="auto"/>
          </w:tcPr>
          <w:p w14:paraId="683690F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85</w:t>
            </w:r>
          </w:p>
        </w:tc>
        <w:tc>
          <w:tcPr>
            <w:tcW w:w="0" w:type="auto"/>
            <w:shd w:val="clear" w:color="auto" w:fill="auto"/>
          </w:tcPr>
          <w:p w14:paraId="1063FAD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69B034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49DB5201" w14:textId="77777777" w:rsidTr="008157BA">
        <w:trPr>
          <w:jc w:val="center"/>
        </w:trPr>
        <w:tc>
          <w:tcPr>
            <w:tcW w:w="5358" w:type="dxa"/>
            <w:shd w:val="clear" w:color="auto" w:fill="auto"/>
          </w:tcPr>
          <w:p w14:paraId="1A42162E"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Academic experiences</w:t>
            </w:r>
          </w:p>
        </w:tc>
        <w:tc>
          <w:tcPr>
            <w:tcW w:w="0" w:type="auto"/>
            <w:shd w:val="clear" w:color="auto" w:fill="auto"/>
          </w:tcPr>
          <w:p w14:paraId="7459B41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05E6D8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319BF30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6C68B50"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3E68CDDE" w14:textId="77777777" w:rsidTr="008157BA">
        <w:trPr>
          <w:jc w:val="center"/>
        </w:trPr>
        <w:tc>
          <w:tcPr>
            <w:tcW w:w="5358" w:type="dxa"/>
            <w:shd w:val="clear" w:color="auto" w:fill="auto"/>
          </w:tcPr>
          <w:p w14:paraId="7DE5D750"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Enrolled in AP classes </w:t>
            </w:r>
          </w:p>
        </w:tc>
        <w:tc>
          <w:tcPr>
            <w:tcW w:w="0" w:type="auto"/>
            <w:shd w:val="clear" w:color="auto" w:fill="auto"/>
          </w:tcPr>
          <w:p w14:paraId="758207E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87716A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2BAC820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405D27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6AE6BD20" w14:textId="77777777" w:rsidTr="008157BA">
        <w:trPr>
          <w:jc w:val="center"/>
        </w:trPr>
        <w:tc>
          <w:tcPr>
            <w:tcW w:w="5358" w:type="dxa"/>
            <w:shd w:val="clear" w:color="auto" w:fill="auto"/>
          </w:tcPr>
          <w:p w14:paraId="55AE89E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0" w:type="auto"/>
            <w:shd w:val="clear" w:color="auto" w:fill="auto"/>
          </w:tcPr>
          <w:p w14:paraId="23EE1F7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92</w:t>
            </w:r>
          </w:p>
        </w:tc>
        <w:tc>
          <w:tcPr>
            <w:tcW w:w="0" w:type="auto"/>
            <w:shd w:val="clear" w:color="auto" w:fill="auto"/>
          </w:tcPr>
          <w:p w14:paraId="013AE8D0"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28</w:t>
            </w:r>
          </w:p>
        </w:tc>
        <w:tc>
          <w:tcPr>
            <w:tcW w:w="0" w:type="auto"/>
            <w:shd w:val="clear" w:color="auto" w:fill="auto"/>
          </w:tcPr>
          <w:p w14:paraId="4C02245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93900F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7DC71FFD" w14:textId="77777777" w:rsidTr="008157BA">
        <w:trPr>
          <w:jc w:val="center"/>
        </w:trPr>
        <w:tc>
          <w:tcPr>
            <w:tcW w:w="5358" w:type="dxa"/>
            <w:shd w:val="clear" w:color="auto" w:fill="auto"/>
          </w:tcPr>
          <w:p w14:paraId="30F253B6"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0" w:type="auto"/>
            <w:shd w:val="clear" w:color="auto" w:fill="auto"/>
          </w:tcPr>
          <w:p w14:paraId="5B8233E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235</w:t>
            </w:r>
          </w:p>
        </w:tc>
        <w:tc>
          <w:tcPr>
            <w:tcW w:w="0" w:type="auto"/>
            <w:shd w:val="clear" w:color="auto" w:fill="auto"/>
          </w:tcPr>
          <w:p w14:paraId="2D0ED787"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72</w:t>
            </w:r>
          </w:p>
        </w:tc>
        <w:tc>
          <w:tcPr>
            <w:tcW w:w="0" w:type="auto"/>
            <w:shd w:val="clear" w:color="auto" w:fill="auto"/>
          </w:tcPr>
          <w:p w14:paraId="2D6F140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95F72E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4A7F788C" w14:textId="77777777" w:rsidTr="008157BA">
        <w:trPr>
          <w:jc w:val="center"/>
        </w:trPr>
        <w:tc>
          <w:tcPr>
            <w:tcW w:w="5358" w:type="dxa"/>
            <w:shd w:val="clear" w:color="auto" w:fill="auto"/>
          </w:tcPr>
          <w:p w14:paraId="5B232F9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State standardized mathematics test</w:t>
            </w:r>
          </w:p>
        </w:tc>
        <w:tc>
          <w:tcPr>
            <w:tcW w:w="0" w:type="auto"/>
            <w:shd w:val="clear" w:color="auto" w:fill="auto"/>
          </w:tcPr>
          <w:p w14:paraId="6FE55EF0"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D78080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10D91C0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7414514A"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72F17983" w14:textId="77777777" w:rsidTr="008157BA">
        <w:trPr>
          <w:jc w:val="center"/>
        </w:trPr>
        <w:tc>
          <w:tcPr>
            <w:tcW w:w="5358" w:type="dxa"/>
            <w:shd w:val="clear" w:color="auto" w:fill="auto"/>
          </w:tcPr>
          <w:p w14:paraId="174065A8"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Passed</w:t>
            </w:r>
          </w:p>
        </w:tc>
        <w:tc>
          <w:tcPr>
            <w:tcW w:w="0" w:type="auto"/>
            <w:shd w:val="clear" w:color="auto" w:fill="auto"/>
          </w:tcPr>
          <w:p w14:paraId="1C88ACD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259</w:t>
            </w:r>
          </w:p>
        </w:tc>
        <w:tc>
          <w:tcPr>
            <w:tcW w:w="0" w:type="auto"/>
            <w:shd w:val="clear" w:color="auto" w:fill="auto"/>
          </w:tcPr>
          <w:p w14:paraId="425C2AB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83</w:t>
            </w:r>
          </w:p>
        </w:tc>
        <w:tc>
          <w:tcPr>
            <w:tcW w:w="0" w:type="auto"/>
            <w:shd w:val="clear" w:color="auto" w:fill="auto"/>
          </w:tcPr>
          <w:p w14:paraId="64DEC00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079FD26"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70CEFDA3" w14:textId="77777777" w:rsidTr="008157BA">
        <w:trPr>
          <w:jc w:val="center"/>
        </w:trPr>
        <w:tc>
          <w:tcPr>
            <w:tcW w:w="5358" w:type="dxa"/>
            <w:shd w:val="clear" w:color="auto" w:fill="auto"/>
          </w:tcPr>
          <w:p w14:paraId="34CF873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Did not pass</w:t>
            </w:r>
          </w:p>
        </w:tc>
        <w:tc>
          <w:tcPr>
            <w:tcW w:w="0" w:type="auto"/>
            <w:shd w:val="clear" w:color="auto" w:fill="auto"/>
          </w:tcPr>
          <w:p w14:paraId="1882D66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54</w:t>
            </w:r>
          </w:p>
        </w:tc>
        <w:tc>
          <w:tcPr>
            <w:tcW w:w="0" w:type="auto"/>
            <w:shd w:val="clear" w:color="auto" w:fill="auto"/>
          </w:tcPr>
          <w:p w14:paraId="6E67A7DF"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17</w:t>
            </w:r>
          </w:p>
        </w:tc>
        <w:tc>
          <w:tcPr>
            <w:tcW w:w="0" w:type="auto"/>
            <w:shd w:val="clear" w:color="auto" w:fill="auto"/>
          </w:tcPr>
          <w:p w14:paraId="19A00548"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2AF76AF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5043CAFF" w14:textId="77777777" w:rsidTr="008157BA">
        <w:trPr>
          <w:jc w:val="center"/>
        </w:trPr>
        <w:tc>
          <w:tcPr>
            <w:tcW w:w="5358" w:type="dxa"/>
            <w:shd w:val="clear" w:color="auto" w:fill="auto"/>
          </w:tcPr>
          <w:p w14:paraId="4FE53EB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Units in mathematics</w:t>
            </w:r>
          </w:p>
        </w:tc>
        <w:tc>
          <w:tcPr>
            <w:tcW w:w="0" w:type="auto"/>
            <w:shd w:val="clear" w:color="auto" w:fill="auto"/>
          </w:tcPr>
          <w:p w14:paraId="28A4C17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39F904E"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2B6FED8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3.47</w:t>
            </w:r>
          </w:p>
        </w:tc>
        <w:tc>
          <w:tcPr>
            <w:tcW w:w="0" w:type="auto"/>
            <w:shd w:val="clear" w:color="auto" w:fill="auto"/>
          </w:tcPr>
          <w:p w14:paraId="7FF760A6"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1.00</w:t>
            </w:r>
          </w:p>
        </w:tc>
      </w:tr>
      <w:tr w:rsidR="008157BA" w:rsidRPr="008157BA" w14:paraId="4223CD79" w14:textId="77777777" w:rsidTr="008157BA">
        <w:trPr>
          <w:jc w:val="center"/>
        </w:trPr>
        <w:tc>
          <w:tcPr>
            <w:tcW w:w="5358" w:type="dxa"/>
            <w:shd w:val="clear" w:color="auto" w:fill="auto"/>
          </w:tcPr>
          <w:p w14:paraId="53CF7ADE"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Cultural discontinuity</w:t>
            </w:r>
          </w:p>
        </w:tc>
        <w:tc>
          <w:tcPr>
            <w:tcW w:w="0" w:type="auto"/>
            <w:shd w:val="clear" w:color="auto" w:fill="auto"/>
          </w:tcPr>
          <w:p w14:paraId="59A9758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550DD46B"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E9ADEB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65E13A0"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60916084" w14:textId="77777777" w:rsidTr="008157BA">
        <w:trPr>
          <w:jc w:val="center"/>
        </w:trPr>
        <w:tc>
          <w:tcPr>
            <w:tcW w:w="5358" w:type="dxa"/>
            <w:shd w:val="clear" w:color="auto" w:fill="auto"/>
          </w:tcPr>
          <w:p w14:paraId="728E677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Cultural discontinuity score</w:t>
            </w:r>
          </w:p>
        </w:tc>
        <w:tc>
          <w:tcPr>
            <w:tcW w:w="0" w:type="auto"/>
            <w:shd w:val="clear" w:color="auto" w:fill="auto"/>
          </w:tcPr>
          <w:p w14:paraId="5C23DEC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7273C81"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67491F7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.44</w:t>
            </w:r>
          </w:p>
        </w:tc>
        <w:tc>
          <w:tcPr>
            <w:tcW w:w="0" w:type="auto"/>
            <w:shd w:val="clear" w:color="auto" w:fill="auto"/>
          </w:tcPr>
          <w:p w14:paraId="7B49FD8F"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.36</w:t>
            </w:r>
          </w:p>
        </w:tc>
      </w:tr>
      <w:tr w:rsidR="008157BA" w:rsidRPr="008157BA" w14:paraId="25390E5D" w14:textId="77777777" w:rsidTr="008157BA">
        <w:trPr>
          <w:jc w:val="center"/>
        </w:trPr>
        <w:tc>
          <w:tcPr>
            <w:tcW w:w="5358" w:type="dxa"/>
            <w:shd w:val="clear" w:color="auto" w:fill="auto"/>
          </w:tcPr>
          <w:p w14:paraId="443094AD"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Outcome variable</w:t>
            </w:r>
          </w:p>
        </w:tc>
        <w:tc>
          <w:tcPr>
            <w:tcW w:w="0" w:type="auto"/>
            <w:shd w:val="clear" w:color="auto" w:fill="auto"/>
          </w:tcPr>
          <w:p w14:paraId="16C479D5"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0A8290B6"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4DF64FA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shd w:val="clear" w:color="auto" w:fill="auto"/>
          </w:tcPr>
          <w:p w14:paraId="7D5AF369"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r>
      <w:tr w:rsidR="008157BA" w:rsidRPr="008157BA" w14:paraId="08108875" w14:textId="77777777" w:rsidTr="008157BA">
        <w:trPr>
          <w:jc w:val="center"/>
        </w:trPr>
        <w:tc>
          <w:tcPr>
            <w:tcW w:w="5358" w:type="dxa"/>
            <w:tcBorders>
              <w:bottom w:val="single" w:sz="4" w:space="0" w:color="auto"/>
            </w:tcBorders>
            <w:shd w:val="clear" w:color="auto" w:fill="auto"/>
          </w:tcPr>
          <w:p w14:paraId="18E8CC2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GPA</w:t>
            </w:r>
          </w:p>
        </w:tc>
        <w:tc>
          <w:tcPr>
            <w:tcW w:w="0" w:type="auto"/>
            <w:tcBorders>
              <w:bottom w:val="single" w:sz="4" w:space="0" w:color="auto"/>
            </w:tcBorders>
            <w:shd w:val="clear" w:color="auto" w:fill="auto"/>
          </w:tcPr>
          <w:p w14:paraId="35EC706C"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tcBorders>
              <w:bottom w:val="single" w:sz="4" w:space="0" w:color="auto"/>
            </w:tcBorders>
            <w:shd w:val="clear" w:color="auto" w:fill="auto"/>
          </w:tcPr>
          <w:p w14:paraId="4AA1B5ED"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p>
        </w:tc>
        <w:tc>
          <w:tcPr>
            <w:tcW w:w="0" w:type="auto"/>
            <w:tcBorders>
              <w:bottom w:val="single" w:sz="4" w:space="0" w:color="auto"/>
            </w:tcBorders>
            <w:shd w:val="clear" w:color="auto" w:fill="auto"/>
          </w:tcPr>
          <w:p w14:paraId="38CD2502"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2.93</w:t>
            </w:r>
          </w:p>
        </w:tc>
        <w:tc>
          <w:tcPr>
            <w:tcW w:w="0" w:type="auto"/>
            <w:tcBorders>
              <w:bottom w:val="single" w:sz="4" w:space="0" w:color="auto"/>
            </w:tcBorders>
            <w:shd w:val="clear" w:color="auto" w:fill="auto"/>
          </w:tcPr>
          <w:p w14:paraId="31118463" w14:textId="77777777" w:rsidR="008157BA" w:rsidRPr="008157BA" w:rsidRDefault="008157BA" w:rsidP="008157BA">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.71</w:t>
            </w:r>
          </w:p>
        </w:tc>
      </w:tr>
      <w:tr w:rsidR="008157BA" w:rsidRPr="008157BA" w14:paraId="76214585" w14:textId="77777777" w:rsidTr="008157BA">
        <w:trPr>
          <w:jc w:val="center"/>
        </w:trPr>
        <w:tc>
          <w:tcPr>
            <w:tcW w:w="8164" w:type="dxa"/>
            <w:gridSpan w:val="5"/>
            <w:tcBorders>
              <w:top w:val="single" w:sz="4" w:space="0" w:color="auto"/>
            </w:tcBorders>
            <w:shd w:val="clear" w:color="auto" w:fill="auto"/>
          </w:tcPr>
          <w:p w14:paraId="7D4FB6B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i/>
                <w:sz w:val="20"/>
                <w:szCs w:val="20"/>
              </w:rPr>
              <w:t>Note.</w:t>
            </w:r>
            <w:r w:rsidRPr="008157BA">
              <w:rPr>
                <w:rFonts w:ascii="Times New Roman" w:hAnsi="Times New Roman"/>
                <w:sz w:val="20"/>
                <w:szCs w:val="20"/>
              </w:rPr>
              <w:t xml:space="preserve"> AP = Advanced Placement; GPA = grade point average</w:t>
            </w:r>
          </w:p>
        </w:tc>
      </w:tr>
      <w:tr w:rsidR="008157BA" w:rsidRPr="008157BA" w14:paraId="253EDA45" w14:textId="77777777" w:rsidTr="008157BA">
        <w:trPr>
          <w:jc w:val="center"/>
        </w:trPr>
        <w:tc>
          <w:tcPr>
            <w:tcW w:w="8164" w:type="dxa"/>
            <w:gridSpan w:val="5"/>
            <w:shd w:val="clear" w:color="auto" w:fill="auto"/>
          </w:tcPr>
          <w:p w14:paraId="7575049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roofErr w:type="spellStart"/>
            <w:proofErr w:type="gramStart"/>
            <w:r w:rsidRPr="008157BA">
              <w:rPr>
                <w:rFonts w:ascii="Times New Roman" w:hAnsi="Times New Roman"/>
                <w:sz w:val="20"/>
                <w:szCs w:val="20"/>
                <w:vertAlign w:val="superscript"/>
              </w:rPr>
              <w:t>a</w:t>
            </w:r>
            <w:r w:rsidRPr="008157BA">
              <w:rPr>
                <w:rFonts w:ascii="Times New Roman" w:hAnsi="Times New Roman"/>
                <w:sz w:val="20"/>
                <w:szCs w:val="20"/>
              </w:rPr>
              <w:t>Due</w:t>
            </w:r>
            <w:proofErr w:type="spellEnd"/>
            <w:proofErr w:type="gramEnd"/>
            <w:r w:rsidRPr="008157BA">
              <w:rPr>
                <w:rFonts w:ascii="Times New Roman" w:hAnsi="Times New Roman"/>
                <w:sz w:val="20"/>
                <w:szCs w:val="20"/>
              </w:rPr>
              <w:t xml:space="preserve"> to rounding, percentages may not equal 100%.</w:t>
            </w:r>
          </w:p>
        </w:tc>
      </w:tr>
    </w:tbl>
    <w:p w14:paraId="2E43B8C0" w14:textId="010BB23C" w:rsidR="008157BA" w:rsidRPr="008157BA" w:rsidRDefault="008157BA" w:rsidP="008157BA">
      <w:pPr>
        <w:widowControl w:val="0"/>
        <w:spacing w:line="360" w:lineRule="auto"/>
        <w:rPr>
          <w:rFonts w:eastAsia="Times New Roman" w:cs="Times New Roman"/>
          <w:b/>
          <w:szCs w:val="20"/>
        </w:rPr>
      </w:pPr>
    </w:p>
    <w:p w14:paraId="77135C9D"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Data Collection </w:t>
      </w:r>
    </w:p>
    <w:p w14:paraId="3CD4DC16" w14:textId="77777777" w:rsidR="008157BA" w:rsidRPr="008157BA" w:rsidRDefault="008157BA" w:rsidP="008157BA">
      <w:pPr>
        <w:widowControl w:val="0"/>
        <w:spacing w:line="360" w:lineRule="auto"/>
        <w:rPr>
          <w:rFonts w:eastAsia="Times New Roman" w:cs="Times New Roman"/>
          <w:szCs w:val="20"/>
        </w:rPr>
      </w:pPr>
    </w:p>
    <w:p w14:paraId="4D0C04F1"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All participants completed a self-administered questionnaire. Demographic and academic data </w:t>
      </w:r>
      <w:proofErr w:type="gramStart"/>
      <w:r w:rsidRPr="008157BA">
        <w:rPr>
          <w:rFonts w:eastAsia="Times New Roman" w:cs="Times New Roman"/>
          <w:szCs w:val="20"/>
        </w:rPr>
        <w:t>were collected</w:t>
      </w:r>
      <w:proofErr w:type="gramEnd"/>
      <w:r w:rsidRPr="008157BA">
        <w:rPr>
          <w:rFonts w:eastAsia="Times New Roman" w:cs="Times New Roman"/>
          <w:szCs w:val="20"/>
        </w:rPr>
        <w:t xml:space="preserve"> through student transcripts. The information gathered from the transcripts included participants’ age, gender, ethnicity, GPA, standardized test scores, and enrollment in AP courses and mathematics courses. </w:t>
      </w:r>
    </w:p>
    <w:p w14:paraId="6126804B" w14:textId="77777777" w:rsidR="008157BA" w:rsidRPr="008157BA" w:rsidRDefault="008157BA" w:rsidP="008157BA">
      <w:pPr>
        <w:widowControl w:val="0"/>
        <w:spacing w:line="360" w:lineRule="auto"/>
        <w:rPr>
          <w:rFonts w:eastAsia="Times New Roman" w:cs="Times New Roman"/>
          <w:szCs w:val="20"/>
        </w:rPr>
      </w:pPr>
    </w:p>
    <w:p w14:paraId="1D14A8EC"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Survey items were adapted from the Self-Construal Scale (SCS; </w:t>
      </w:r>
      <w:proofErr w:type="spellStart"/>
      <w:r w:rsidRPr="008157BA">
        <w:rPr>
          <w:rFonts w:eastAsia="Times New Roman" w:cs="Times New Roman"/>
          <w:szCs w:val="20"/>
        </w:rPr>
        <w:t>Singelis</w:t>
      </w:r>
      <w:proofErr w:type="spellEnd"/>
      <w:r w:rsidRPr="008157BA">
        <w:rPr>
          <w:rFonts w:eastAsia="Times New Roman" w:cs="Times New Roman"/>
          <w:szCs w:val="20"/>
        </w:rPr>
        <w:t>, 1994), which measures interdependent and independent self-</w:t>
      </w:r>
      <w:proofErr w:type="spellStart"/>
      <w:r w:rsidRPr="008157BA">
        <w:rPr>
          <w:rFonts w:eastAsia="Times New Roman" w:cs="Times New Roman"/>
          <w:szCs w:val="20"/>
        </w:rPr>
        <w:t>construals</w:t>
      </w:r>
      <w:proofErr w:type="spellEnd"/>
      <w:r w:rsidRPr="008157BA">
        <w:rPr>
          <w:rFonts w:eastAsia="Times New Roman" w:cs="Times New Roman"/>
          <w:szCs w:val="20"/>
        </w:rPr>
        <w:t xml:space="preserve"> that correspond to the constructs of collectivism and individualism. A sample item from this measure is, “I make my own choices rather than listen to others.” Further survey items were obtained from individualism and collectivism domains utilized in other published individualism–collectivism scales (</w:t>
      </w:r>
      <w:proofErr w:type="spellStart"/>
      <w:r w:rsidRPr="008157BA">
        <w:rPr>
          <w:rFonts w:eastAsia="Times New Roman" w:cs="Times New Roman"/>
          <w:szCs w:val="20"/>
        </w:rPr>
        <w:t>Oyserman</w:t>
      </w:r>
      <w:proofErr w:type="spellEnd"/>
      <w:r w:rsidRPr="008157BA">
        <w:rPr>
          <w:rFonts w:eastAsia="Times New Roman" w:cs="Times New Roman"/>
          <w:szCs w:val="20"/>
        </w:rPr>
        <w:t xml:space="preserve"> et al., 2002) and were used to measure the cultural values of individualism and competition, which make up a comprehensive factor labeled cultural discontinuity (</w:t>
      </w:r>
      <w:proofErr w:type="spellStart"/>
      <w:r w:rsidRPr="008157BA">
        <w:rPr>
          <w:rFonts w:eastAsia="Times New Roman" w:cs="Times New Roman"/>
          <w:szCs w:val="20"/>
        </w:rPr>
        <w:t>Singelis</w:t>
      </w:r>
      <w:proofErr w:type="spellEnd"/>
      <w:r w:rsidRPr="008157BA">
        <w:rPr>
          <w:rFonts w:eastAsia="Times New Roman" w:cs="Times New Roman"/>
          <w:szCs w:val="20"/>
        </w:rPr>
        <w:t>, 1994). Prior research has reported Cronbach’s alpha reliability of .69 for the Independent subscale of the SCS (</w:t>
      </w:r>
      <w:proofErr w:type="spellStart"/>
      <w:r w:rsidRPr="008157BA">
        <w:rPr>
          <w:rFonts w:eastAsia="Times New Roman" w:cs="Times New Roman"/>
          <w:szCs w:val="20"/>
        </w:rPr>
        <w:t>Singelis</w:t>
      </w:r>
      <w:proofErr w:type="spellEnd"/>
      <w:r w:rsidRPr="008157BA">
        <w:rPr>
          <w:rFonts w:eastAsia="Times New Roman" w:cs="Times New Roman"/>
          <w:szCs w:val="20"/>
        </w:rPr>
        <w:t xml:space="preserve">, 1994). The current study found this measure to show slightly higher reliability for the sample (Cronbach’s alpha = .71). Validity </w:t>
      </w:r>
      <w:proofErr w:type="gramStart"/>
      <w:r w:rsidRPr="008157BA">
        <w:rPr>
          <w:rFonts w:eastAsia="Times New Roman" w:cs="Times New Roman"/>
          <w:szCs w:val="20"/>
        </w:rPr>
        <w:t>was determined</w:t>
      </w:r>
      <w:proofErr w:type="gramEnd"/>
      <w:r w:rsidRPr="008157BA">
        <w:rPr>
          <w:rFonts w:eastAsia="Times New Roman" w:cs="Times New Roman"/>
          <w:szCs w:val="20"/>
        </w:rPr>
        <w:t xml:space="preserve"> by use in other published studies (e.g., Schwartz, 2007; </w:t>
      </w:r>
      <w:proofErr w:type="spellStart"/>
      <w:r w:rsidRPr="008157BA">
        <w:rPr>
          <w:rFonts w:eastAsia="Times New Roman" w:cs="Times New Roman"/>
          <w:szCs w:val="20"/>
        </w:rPr>
        <w:t>Shorey</w:t>
      </w:r>
      <w:proofErr w:type="spellEnd"/>
      <w:r w:rsidRPr="008157BA">
        <w:rPr>
          <w:rFonts w:eastAsia="Times New Roman" w:cs="Times New Roman"/>
          <w:szCs w:val="20"/>
        </w:rPr>
        <w:t xml:space="preserve"> et al., 2002; Taggart, 2017). </w:t>
      </w:r>
    </w:p>
    <w:p w14:paraId="3CA119E3" w14:textId="77777777" w:rsidR="008157BA" w:rsidRPr="008157BA" w:rsidRDefault="008157BA" w:rsidP="008157BA">
      <w:pPr>
        <w:widowControl w:val="0"/>
        <w:spacing w:line="360" w:lineRule="auto"/>
        <w:rPr>
          <w:rFonts w:eastAsia="Times New Roman" w:cs="Times New Roman"/>
          <w:szCs w:val="20"/>
        </w:rPr>
      </w:pPr>
    </w:p>
    <w:p w14:paraId="0B6ADD21"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Each item </w:t>
      </w:r>
      <w:proofErr w:type="gramStart"/>
      <w:r w:rsidRPr="008157BA">
        <w:rPr>
          <w:rFonts w:eastAsia="Times New Roman" w:cs="Times New Roman"/>
          <w:szCs w:val="20"/>
        </w:rPr>
        <w:t>was reworded</w:t>
      </w:r>
      <w:proofErr w:type="gramEnd"/>
      <w:r w:rsidRPr="008157BA">
        <w:rPr>
          <w:rFonts w:eastAsia="Times New Roman" w:cs="Times New Roman"/>
          <w:szCs w:val="20"/>
        </w:rPr>
        <w:t xml:space="preserve"> to operationalize distinct behaviors, activities, or practices that students may experience at home and at school (Tyler et al., 2008). Items measured the frequency of the occurrence of those behaviors and </w:t>
      </w:r>
      <w:proofErr w:type="gramStart"/>
      <w:r w:rsidRPr="008157BA">
        <w:rPr>
          <w:rFonts w:eastAsia="Times New Roman" w:cs="Times New Roman"/>
          <w:szCs w:val="20"/>
        </w:rPr>
        <w:lastRenderedPageBreak/>
        <w:t>were measured</w:t>
      </w:r>
      <w:proofErr w:type="gramEnd"/>
      <w:r w:rsidRPr="008157BA">
        <w:rPr>
          <w:rFonts w:eastAsia="Times New Roman" w:cs="Times New Roman"/>
          <w:szCs w:val="20"/>
        </w:rPr>
        <w:t xml:space="preserve"> twice. First, behaviors </w:t>
      </w:r>
      <w:proofErr w:type="gramStart"/>
      <w:r w:rsidRPr="008157BA">
        <w:rPr>
          <w:rFonts w:eastAsia="Times New Roman" w:cs="Times New Roman"/>
          <w:szCs w:val="20"/>
        </w:rPr>
        <w:t>were measured</w:t>
      </w:r>
      <w:proofErr w:type="gramEnd"/>
      <w:r w:rsidRPr="008157BA">
        <w:rPr>
          <w:rFonts w:eastAsia="Times New Roman" w:cs="Times New Roman"/>
          <w:szCs w:val="20"/>
        </w:rPr>
        <w:t xml:space="preserve"> for the frequency with which they occur at home. Next, they </w:t>
      </w:r>
      <w:proofErr w:type="gramStart"/>
      <w:r w:rsidRPr="008157BA">
        <w:rPr>
          <w:rFonts w:eastAsia="Times New Roman" w:cs="Times New Roman"/>
          <w:szCs w:val="20"/>
        </w:rPr>
        <w:t>were measured</w:t>
      </w:r>
      <w:proofErr w:type="gramEnd"/>
      <w:r w:rsidRPr="008157BA">
        <w:rPr>
          <w:rFonts w:eastAsia="Times New Roman" w:cs="Times New Roman"/>
          <w:szCs w:val="20"/>
        </w:rPr>
        <w:t xml:space="preserve"> for the frequency with which the behavior occurs at school. For instance, one item stated, “In my home, adults encourage me to compete against others,” followed by, “In my school, adults encourage me to compete against others.” For each of the items, a four-point Likert-type scale was used with the following possible responses: </w:t>
      </w:r>
      <w:proofErr w:type="gramStart"/>
      <w:r w:rsidRPr="008157BA">
        <w:rPr>
          <w:rFonts w:eastAsia="Times New Roman" w:cs="Times New Roman"/>
          <w:szCs w:val="20"/>
        </w:rPr>
        <w:t>4</w:t>
      </w:r>
      <w:proofErr w:type="gramEnd"/>
      <w:r w:rsidRPr="008157BA">
        <w:rPr>
          <w:rFonts w:eastAsia="Times New Roman" w:cs="Times New Roman"/>
          <w:szCs w:val="20"/>
        </w:rPr>
        <w:t xml:space="preserve"> = always, 3 = sometimes, 2 = rarely, 1 = never. After the questionnaire </w:t>
      </w:r>
      <w:proofErr w:type="gramStart"/>
      <w:r w:rsidRPr="008157BA">
        <w:rPr>
          <w:rFonts w:eastAsia="Times New Roman" w:cs="Times New Roman"/>
          <w:szCs w:val="20"/>
        </w:rPr>
        <w:t>was administered</w:t>
      </w:r>
      <w:proofErr w:type="gramEnd"/>
      <w:r w:rsidRPr="008157BA">
        <w:rPr>
          <w:rFonts w:eastAsia="Times New Roman" w:cs="Times New Roman"/>
          <w:szCs w:val="20"/>
        </w:rPr>
        <w:t xml:space="preserve">, a cultural discontinuity score was determined by subtracting the school score from the home score. Scores that did not equal zero </w:t>
      </w:r>
      <w:proofErr w:type="gramStart"/>
      <w:r w:rsidRPr="008157BA">
        <w:rPr>
          <w:rFonts w:eastAsia="Times New Roman" w:cs="Times New Roman"/>
          <w:szCs w:val="20"/>
        </w:rPr>
        <w:t>were found</w:t>
      </w:r>
      <w:proofErr w:type="gramEnd"/>
      <w:r w:rsidRPr="008157BA">
        <w:rPr>
          <w:rFonts w:eastAsia="Times New Roman" w:cs="Times New Roman"/>
          <w:szCs w:val="20"/>
        </w:rPr>
        <w:t xml:space="preserve"> to demonstrate discontinuity between home and school, and absolute values then were used to regress cultural discontinuity against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students’ grades (Tyler et al., 2008). </w:t>
      </w:r>
    </w:p>
    <w:p w14:paraId="1DB1EF4A" w14:textId="77777777" w:rsidR="008157BA" w:rsidRPr="008157BA" w:rsidRDefault="008157BA" w:rsidP="008157BA">
      <w:pPr>
        <w:widowControl w:val="0"/>
        <w:spacing w:line="360" w:lineRule="auto"/>
        <w:rPr>
          <w:rFonts w:eastAsia="Times New Roman" w:cs="Times New Roman"/>
          <w:szCs w:val="20"/>
        </w:rPr>
      </w:pPr>
    </w:p>
    <w:p w14:paraId="4E35BB7B"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Most of the participants </w:t>
      </w:r>
      <w:proofErr w:type="gramStart"/>
      <w:r w:rsidRPr="008157BA">
        <w:rPr>
          <w:rFonts w:eastAsia="Times New Roman" w:cs="Times New Roman"/>
          <w:szCs w:val="20"/>
        </w:rPr>
        <w:t>were found</w:t>
      </w:r>
      <w:proofErr w:type="gramEnd"/>
      <w:r w:rsidRPr="008157BA">
        <w:rPr>
          <w:rFonts w:eastAsia="Times New Roman" w:cs="Times New Roman"/>
          <w:szCs w:val="20"/>
        </w:rPr>
        <w:t xml:space="preserve"> to have experienced some cultural discontinuity between home and school. Therefore, to determine which students experienced higher and lower levels of cultural discontinuity, the mean (.441) and standard deviation (.361) of the cultural discontinuity scores </w:t>
      </w:r>
      <w:proofErr w:type="gramStart"/>
      <w:r w:rsidRPr="008157BA">
        <w:rPr>
          <w:rFonts w:eastAsia="Times New Roman" w:cs="Times New Roman"/>
          <w:szCs w:val="20"/>
        </w:rPr>
        <w:t>were examined</w:t>
      </w:r>
      <w:proofErr w:type="gramEnd"/>
      <w:r w:rsidRPr="008157BA">
        <w:rPr>
          <w:rFonts w:eastAsia="Times New Roman" w:cs="Times New Roman"/>
          <w:szCs w:val="20"/>
        </w:rPr>
        <w:t xml:space="preserve">. Participants with cultural discontinuity scores that were at least one standard deviation above the mean (.802) were rated as having experienced higher levels of cultural discontinuity, whereas participants with cultural discontinuity scores at least one standard deviation below the mean (.081) were rated as having experienced lower levels of cultural discontinuity. These scores </w:t>
      </w:r>
      <w:proofErr w:type="gramStart"/>
      <w:r w:rsidRPr="008157BA">
        <w:rPr>
          <w:rFonts w:eastAsia="Times New Roman" w:cs="Times New Roman"/>
          <w:szCs w:val="20"/>
        </w:rPr>
        <w:t>were then used</w:t>
      </w:r>
      <w:proofErr w:type="gramEnd"/>
      <w:r w:rsidRPr="008157BA">
        <w:rPr>
          <w:rFonts w:eastAsia="Times New Roman" w:cs="Times New Roman"/>
          <w:szCs w:val="20"/>
        </w:rPr>
        <w:t xml:space="preserve"> to descriptively compare the characteristics of students who experienced higher and lower levels of cultural discontinuity between home and school (Taggart, 2017). </w:t>
      </w:r>
    </w:p>
    <w:p w14:paraId="7E66301A" w14:textId="77777777" w:rsidR="008157BA" w:rsidRPr="008157BA" w:rsidRDefault="008157BA" w:rsidP="008157BA">
      <w:pPr>
        <w:widowControl w:val="0"/>
        <w:spacing w:line="360" w:lineRule="auto"/>
        <w:rPr>
          <w:rFonts w:eastAsia="Times New Roman" w:cs="Times New Roman"/>
          <w:b/>
          <w:szCs w:val="20"/>
        </w:rPr>
      </w:pPr>
    </w:p>
    <w:p w14:paraId="31504E28"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Variables </w:t>
      </w:r>
    </w:p>
    <w:p w14:paraId="70D31FFB" w14:textId="77777777" w:rsidR="008157BA" w:rsidRPr="008157BA" w:rsidRDefault="008157BA" w:rsidP="008157BA">
      <w:pPr>
        <w:widowControl w:val="0"/>
        <w:spacing w:line="360" w:lineRule="auto"/>
        <w:rPr>
          <w:rFonts w:eastAsia="Times New Roman" w:cs="Times New Roman"/>
          <w:szCs w:val="20"/>
        </w:rPr>
      </w:pPr>
    </w:p>
    <w:p w14:paraId="399DF457" w14:textId="7DECFCDE"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Three blocks of variables </w:t>
      </w:r>
      <w:proofErr w:type="gramStart"/>
      <w:r w:rsidRPr="008157BA">
        <w:rPr>
          <w:rFonts w:eastAsia="Times New Roman" w:cs="Times New Roman"/>
          <w:szCs w:val="20"/>
        </w:rPr>
        <w:t>were hypothesized to be related</w:t>
      </w:r>
      <w:proofErr w:type="gramEnd"/>
      <w:r w:rsidRPr="008157BA">
        <w:rPr>
          <w:rFonts w:eastAsia="Times New Roman" w:cs="Times New Roman"/>
          <w:szCs w:val="20"/>
        </w:rPr>
        <w:t xml:space="preserve"> to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students’ grades. Socio-demographic variables were included in the first block of the model, including gender, primary language, student’s generational status, the generational status of at least one parent, student’s educational aspirations, and the level of education of at least one parent. Academic experiences then </w:t>
      </w:r>
      <w:proofErr w:type="gramStart"/>
      <w:r w:rsidRPr="008157BA">
        <w:rPr>
          <w:rFonts w:eastAsia="Times New Roman" w:cs="Times New Roman"/>
          <w:szCs w:val="20"/>
        </w:rPr>
        <w:t>were added</w:t>
      </w:r>
      <w:proofErr w:type="gramEnd"/>
      <w:r w:rsidRPr="008157BA">
        <w:rPr>
          <w:rFonts w:eastAsia="Times New Roman" w:cs="Times New Roman"/>
          <w:szCs w:val="20"/>
        </w:rPr>
        <w:t xml:space="preserve"> to the model, including the number of AP courses that a student had taken in high school and the number of mathematics courses that a student had taken. Lastly, the cultural discontinuity variable </w:t>
      </w:r>
      <w:proofErr w:type="gramStart"/>
      <w:r w:rsidRPr="008157BA">
        <w:rPr>
          <w:rFonts w:eastAsia="Times New Roman" w:cs="Times New Roman"/>
          <w:szCs w:val="20"/>
        </w:rPr>
        <w:t>was added</w:t>
      </w:r>
      <w:proofErr w:type="gramEnd"/>
      <w:r w:rsidRPr="008157BA">
        <w:rPr>
          <w:rFonts w:eastAsia="Times New Roman" w:cs="Times New Roman"/>
          <w:szCs w:val="20"/>
        </w:rPr>
        <w:t xml:space="preserve"> as the last block of the model, comprising the scores obtained from the questionnaire for cultural discontinuity. A coefficient of determinant (R</w:t>
      </w:r>
      <w:r w:rsidRPr="008157BA">
        <w:rPr>
          <w:rFonts w:eastAsia="Times New Roman" w:cs="Times New Roman"/>
          <w:szCs w:val="20"/>
          <w:vertAlign w:val="superscript"/>
        </w:rPr>
        <w:t xml:space="preserve">2 </w:t>
      </w:r>
      <w:r w:rsidRPr="008157BA">
        <w:rPr>
          <w:rFonts w:eastAsia="Times New Roman" w:cs="Times New Roman"/>
          <w:szCs w:val="20"/>
        </w:rPr>
        <w:t xml:space="preserve">change) </w:t>
      </w:r>
      <w:proofErr w:type="gramStart"/>
      <w:r w:rsidRPr="008157BA">
        <w:rPr>
          <w:rFonts w:eastAsia="Times New Roman" w:cs="Times New Roman"/>
          <w:szCs w:val="20"/>
        </w:rPr>
        <w:t>was used</w:t>
      </w:r>
      <w:proofErr w:type="gramEnd"/>
      <w:r w:rsidRPr="008157BA">
        <w:rPr>
          <w:rFonts w:eastAsia="Times New Roman" w:cs="Times New Roman"/>
          <w:szCs w:val="20"/>
        </w:rPr>
        <w:t xml:space="preserve"> to determine whether the addition of each new block of variables resulted in an overall improvement in the fit of the model. In addition, outliers, </w:t>
      </w:r>
      <w:proofErr w:type="spellStart"/>
      <w:r w:rsidRPr="008157BA">
        <w:rPr>
          <w:rFonts w:eastAsia="Times New Roman" w:cs="Times New Roman"/>
          <w:szCs w:val="20"/>
        </w:rPr>
        <w:t>multicollinearity</w:t>
      </w:r>
      <w:proofErr w:type="spellEnd"/>
      <w:r w:rsidRPr="008157BA">
        <w:rPr>
          <w:rFonts w:eastAsia="Times New Roman" w:cs="Times New Roman"/>
          <w:szCs w:val="20"/>
        </w:rPr>
        <w:t xml:space="preserve">, nonlinearity, and non-normality </w:t>
      </w:r>
      <w:proofErr w:type="gramStart"/>
      <w:r w:rsidRPr="008157BA">
        <w:rPr>
          <w:rFonts w:eastAsia="Times New Roman" w:cs="Times New Roman"/>
          <w:szCs w:val="20"/>
        </w:rPr>
        <w:t>were examined</w:t>
      </w:r>
      <w:proofErr w:type="gramEnd"/>
      <w:r w:rsidRPr="008157BA">
        <w:rPr>
          <w:rFonts w:eastAsia="Times New Roman" w:cs="Times New Roman"/>
          <w:szCs w:val="20"/>
        </w:rPr>
        <w:t xml:space="preserve"> when assessing the fit of the model. The standard error </w:t>
      </w:r>
      <w:proofErr w:type="gramStart"/>
      <w:r w:rsidRPr="008157BA">
        <w:rPr>
          <w:rFonts w:eastAsia="Times New Roman" w:cs="Times New Roman"/>
          <w:szCs w:val="20"/>
        </w:rPr>
        <w:t>was also examined</w:t>
      </w:r>
      <w:proofErr w:type="gramEnd"/>
      <w:r w:rsidRPr="008157BA">
        <w:rPr>
          <w:rFonts w:eastAsia="Times New Roman" w:cs="Times New Roman"/>
          <w:szCs w:val="20"/>
        </w:rPr>
        <w:t>. The outcome examined was cumulative GPA (Taggart, 2017).</w:t>
      </w:r>
    </w:p>
    <w:p w14:paraId="32AA8337" w14:textId="50365592" w:rsidR="008157BA" w:rsidRPr="008157BA" w:rsidRDefault="008157BA" w:rsidP="008157BA">
      <w:pPr>
        <w:widowControl w:val="0"/>
        <w:spacing w:line="360" w:lineRule="auto"/>
        <w:jc w:val="left"/>
        <w:rPr>
          <w:rFonts w:eastAsia="Times New Roman" w:cs="Times New Roman"/>
          <w:b/>
          <w:szCs w:val="20"/>
        </w:rPr>
      </w:pPr>
    </w:p>
    <w:p w14:paraId="5278A0E2"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Data Analyses </w:t>
      </w:r>
    </w:p>
    <w:p w14:paraId="78C0D803" w14:textId="77777777" w:rsidR="008157BA" w:rsidRPr="008157BA" w:rsidRDefault="008157BA" w:rsidP="008157BA">
      <w:pPr>
        <w:widowControl w:val="0"/>
        <w:spacing w:line="360" w:lineRule="auto"/>
        <w:rPr>
          <w:rFonts w:eastAsia="Times New Roman" w:cs="Times New Roman"/>
          <w:szCs w:val="20"/>
        </w:rPr>
      </w:pPr>
    </w:p>
    <w:p w14:paraId="192BEA19"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Descriptive statistics </w:t>
      </w:r>
      <w:proofErr w:type="gramStart"/>
      <w:r w:rsidRPr="008157BA">
        <w:rPr>
          <w:rFonts w:eastAsia="Times New Roman" w:cs="Times New Roman"/>
          <w:szCs w:val="20"/>
        </w:rPr>
        <w:t>were utilized</w:t>
      </w:r>
      <w:proofErr w:type="gramEnd"/>
      <w:r w:rsidRPr="008157BA">
        <w:rPr>
          <w:rFonts w:eastAsia="Times New Roman" w:cs="Times New Roman"/>
          <w:szCs w:val="20"/>
        </w:rPr>
        <w:t xml:space="preserve"> to compare the characteristics of students who experienced higher and lower levels of cultural discontinuity between home and school. T-tests </w:t>
      </w:r>
      <w:proofErr w:type="gramStart"/>
      <w:r w:rsidRPr="008157BA">
        <w:rPr>
          <w:rFonts w:eastAsia="Times New Roman" w:cs="Times New Roman"/>
          <w:szCs w:val="20"/>
        </w:rPr>
        <w:t>were computed</w:t>
      </w:r>
      <w:proofErr w:type="gramEnd"/>
      <w:r w:rsidRPr="008157BA">
        <w:rPr>
          <w:rFonts w:eastAsia="Times New Roman" w:cs="Times New Roman"/>
          <w:szCs w:val="20"/>
        </w:rPr>
        <w:t xml:space="preserve"> for interval- or ratio-level variables to identify significant differences between the means of students who experienced higher and lower levels of cultural discontinuity between home and school, as well as to examine whether or not there was a significant difference in the cumulative GPA of students who experienced higher and lower levels of cultural discontinuity. Chi-square tests for independence were calculated to discover whether significant relationships existed between categorical variables (</w:t>
      </w:r>
      <w:proofErr w:type="spellStart"/>
      <w:r w:rsidRPr="008157BA">
        <w:rPr>
          <w:rFonts w:eastAsia="Times New Roman" w:cs="Times New Roman"/>
          <w:szCs w:val="20"/>
        </w:rPr>
        <w:t>Cronk</w:t>
      </w:r>
      <w:proofErr w:type="spellEnd"/>
      <w:r w:rsidRPr="008157BA">
        <w:rPr>
          <w:rFonts w:eastAsia="Times New Roman" w:cs="Times New Roman"/>
          <w:szCs w:val="20"/>
        </w:rPr>
        <w:t xml:space="preserve">, 2010), and effect sizes were calculated and examined for practical </w:t>
      </w:r>
      <w:r w:rsidRPr="008157BA">
        <w:rPr>
          <w:rFonts w:eastAsia="Times New Roman" w:cs="Times New Roman"/>
          <w:szCs w:val="20"/>
        </w:rPr>
        <w:lastRenderedPageBreak/>
        <w:t xml:space="preserve">significance (Bracey, 2000). </w:t>
      </w:r>
    </w:p>
    <w:p w14:paraId="44C07010" w14:textId="77777777" w:rsidR="008157BA" w:rsidRPr="008157BA" w:rsidRDefault="008157BA" w:rsidP="008157BA">
      <w:pPr>
        <w:widowControl w:val="0"/>
        <w:spacing w:line="360" w:lineRule="auto"/>
        <w:rPr>
          <w:rFonts w:eastAsia="Times New Roman" w:cs="Times New Roman"/>
          <w:szCs w:val="20"/>
        </w:rPr>
      </w:pPr>
    </w:p>
    <w:p w14:paraId="2597EB62"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Using block sequential modeling, hierarchical multiple regression </w:t>
      </w:r>
      <w:proofErr w:type="gramStart"/>
      <w:r w:rsidRPr="008157BA">
        <w:rPr>
          <w:rFonts w:eastAsia="Times New Roman" w:cs="Times New Roman"/>
          <w:szCs w:val="20"/>
        </w:rPr>
        <w:t>was conducted</w:t>
      </w:r>
      <w:proofErr w:type="gramEnd"/>
      <w:r w:rsidRPr="008157BA">
        <w:rPr>
          <w:rFonts w:eastAsia="Times New Roman" w:cs="Times New Roman"/>
          <w:szCs w:val="20"/>
        </w:rPr>
        <w:t xml:space="preserve"> to identify which variables were associated with student grades and to determine the percent of variance in the outcome that could be explained by the predictor variables (Garson, 2008). Data analyses </w:t>
      </w:r>
      <w:proofErr w:type="gramStart"/>
      <w:r w:rsidRPr="008157BA">
        <w:rPr>
          <w:rFonts w:eastAsia="Times New Roman" w:cs="Times New Roman"/>
          <w:szCs w:val="20"/>
        </w:rPr>
        <w:t>were conducted</w:t>
      </w:r>
      <w:proofErr w:type="gramEnd"/>
      <w:r w:rsidRPr="008157BA">
        <w:rPr>
          <w:rFonts w:eastAsia="Times New Roman" w:cs="Times New Roman"/>
          <w:szCs w:val="20"/>
        </w:rPr>
        <w:t xml:space="preserve"> using IBM SPSS Statistics 26 except for the determination of participants’ cultural discontinuity scores, which were calculated in Microsoft Excel. A probability level of .05 was set for each research hypothesis. Prior to analyses, data </w:t>
      </w:r>
      <w:proofErr w:type="gramStart"/>
      <w:r w:rsidRPr="008157BA">
        <w:rPr>
          <w:rFonts w:eastAsia="Times New Roman" w:cs="Times New Roman"/>
          <w:szCs w:val="20"/>
        </w:rPr>
        <w:t>were screened for skewness and outliers and then examined for test assumptions (</w:t>
      </w:r>
      <w:proofErr w:type="spellStart"/>
      <w:r w:rsidRPr="008157BA">
        <w:rPr>
          <w:rFonts w:eastAsia="Times New Roman" w:cs="Times New Roman"/>
          <w:szCs w:val="20"/>
        </w:rPr>
        <w:t>Mertler</w:t>
      </w:r>
      <w:proofErr w:type="spellEnd"/>
      <w:r w:rsidRPr="008157BA">
        <w:rPr>
          <w:rFonts w:eastAsia="Times New Roman" w:cs="Times New Roman"/>
          <w:szCs w:val="20"/>
        </w:rPr>
        <w:t xml:space="preserve"> &amp; </w:t>
      </w:r>
      <w:proofErr w:type="spellStart"/>
      <w:r w:rsidRPr="008157BA">
        <w:rPr>
          <w:rFonts w:eastAsia="Times New Roman" w:cs="Times New Roman"/>
          <w:szCs w:val="20"/>
        </w:rPr>
        <w:t>Vannatta</w:t>
      </w:r>
      <w:proofErr w:type="spellEnd"/>
      <w:r w:rsidRPr="008157BA">
        <w:rPr>
          <w:rFonts w:eastAsia="Times New Roman" w:cs="Times New Roman"/>
          <w:szCs w:val="20"/>
        </w:rPr>
        <w:t>, 2010)</w:t>
      </w:r>
      <w:proofErr w:type="gramEnd"/>
      <w:r w:rsidRPr="008157BA">
        <w:rPr>
          <w:rFonts w:eastAsia="Times New Roman" w:cs="Times New Roman"/>
          <w:szCs w:val="20"/>
        </w:rPr>
        <w:t xml:space="preserve">. Only participants with no missing data were included in the analyses (Taggart, 2017). </w:t>
      </w:r>
    </w:p>
    <w:p w14:paraId="502DD2B6" w14:textId="77777777" w:rsidR="008157BA" w:rsidRPr="008157BA" w:rsidRDefault="008157BA" w:rsidP="008157BA">
      <w:pPr>
        <w:widowControl w:val="0"/>
        <w:spacing w:line="360" w:lineRule="auto"/>
        <w:rPr>
          <w:rFonts w:eastAsia="Times New Roman" w:cs="Times New Roman"/>
          <w:b/>
          <w:szCs w:val="20"/>
        </w:rPr>
      </w:pPr>
    </w:p>
    <w:p w14:paraId="08F96E3B"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Limitations</w:t>
      </w:r>
    </w:p>
    <w:p w14:paraId="6406864D" w14:textId="77777777" w:rsidR="008157BA" w:rsidRPr="008157BA" w:rsidRDefault="008157BA" w:rsidP="008157BA">
      <w:pPr>
        <w:widowControl w:val="0"/>
        <w:spacing w:line="360" w:lineRule="auto"/>
        <w:rPr>
          <w:rFonts w:eastAsia="Times New Roman" w:cs="Times New Roman"/>
          <w:szCs w:val="20"/>
        </w:rPr>
      </w:pPr>
    </w:p>
    <w:p w14:paraId="695B3301"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Various limitations </w:t>
      </w:r>
      <w:proofErr w:type="gramStart"/>
      <w:r w:rsidRPr="008157BA">
        <w:rPr>
          <w:rFonts w:eastAsia="Times New Roman" w:cs="Times New Roman"/>
          <w:szCs w:val="20"/>
        </w:rPr>
        <w:t>must be accounted for</w:t>
      </w:r>
      <w:proofErr w:type="gramEnd"/>
      <w:r w:rsidRPr="008157BA">
        <w:rPr>
          <w:rFonts w:eastAsia="Times New Roman" w:cs="Times New Roman"/>
          <w:szCs w:val="20"/>
        </w:rPr>
        <w:t xml:space="preserve"> when considering the results of the study. Primarily, the survey itself does not account for every type of cultural discontinuity that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students may experience between home and school, but only those most prominently discussed in the literature. Furthermore, the study did not include additional forms of academic achievement (e.g., college entry) or other factors that may affect achievement (e.g., socioeconomic status) due to their lack of accessibility to the researcher. Next, the study participants attended three high schools, thereby limiting generalizability to other populations. Lastly, </w:t>
      </w:r>
      <w:proofErr w:type="gramStart"/>
      <w:r w:rsidRPr="008157BA">
        <w:rPr>
          <w:rFonts w:eastAsia="Times New Roman" w:cs="Times New Roman"/>
          <w:szCs w:val="20"/>
        </w:rPr>
        <w:t>data collection was limited by the number of respondents and their parents/legal guardians who were willing to participate</w:t>
      </w:r>
      <w:proofErr w:type="gramEnd"/>
      <w:r w:rsidRPr="008157BA">
        <w:rPr>
          <w:rFonts w:eastAsia="Times New Roman" w:cs="Times New Roman"/>
          <w:szCs w:val="20"/>
        </w:rPr>
        <w:t xml:space="preserve">. </w:t>
      </w:r>
    </w:p>
    <w:p w14:paraId="6AC090F1" w14:textId="77777777" w:rsidR="008157BA" w:rsidRPr="008157BA" w:rsidRDefault="008157BA" w:rsidP="008157BA">
      <w:pPr>
        <w:widowControl w:val="0"/>
        <w:spacing w:line="360" w:lineRule="auto"/>
        <w:rPr>
          <w:rFonts w:eastAsia="Times New Roman" w:cs="Times New Roman"/>
          <w:szCs w:val="20"/>
        </w:rPr>
      </w:pPr>
    </w:p>
    <w:p w14:paraId="788556BF" w14:textId="77777777" w:rsidR="008157BA" w:rsidRPr="008157BA" w:rsidRDefault="008157BA" w:rsidP="008157BA">
      <w:pPr>
        <w:widowControl w:val="0"/>
        <w:spacing w:line="360" w:lineRule="auto"/>
        <w:rPr>
          <w:rFonts w:cs="Times New Roman"/>
          <w:b/>
          <w:sz w:val="24"/>
        </w:rPr>
      </w:pPr>
      <w:r w:rsidRPr="008157BA">
        <w:rPr>
          <w:rFonts w:cs="Times New Roman"/>
          <w:b/>
          <w:sz w:val="24"/>
        </w:rPr>
        <w:t>Results</w:t>
      </w:r>
    </w:p>
    <w:p w14:paraId="2E5DDE7D"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Descriptive Findings </w:t>
      </w:r>
    </w:p>
    <w:p w14:paraId="622D3A0C" w14:textId="77777777" w:rsidR="008157BA" w:rsidRPr="008157BA" w:rsidRDefault="008157BA" w:rsidP="008157BA">
      <w:pPr>
        <w:widowControl w:val="0"/>
        <w:spacing w:line="360" w:lineRule="auto"/>
        <w:rPr>
          <w:rFonts w:eastAsia="Times New Roman" w:cs="Times New Roman"/>
          <w:szCs w:val="20"/>
        </w:rPr>
      </w:pPr>
    </w:p>
    <w:p w14:paraId="7C18D9FD"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t xml:space="preserve">Descriptive statistics </w:t>
      </w:r>
      <w:proofErr w:type="gramStart"/>
      <w:r w:rsidRPr="008157BA">
        <w:rPr>
          <w:rFonts w:eastAsia="Times New Roman" w:cs="Times New Roman"/>
          <w:szCs w:val="20"/>
        </w:rPr>
        <w:t>were utilized</w:t>
      </w:r>
      <w:proofErr w:type="gramEnd"/>
      <w:r w:rsidRPr="008157BA">
        <w:rPr>
          <w:rFonts w:eastAsia="Times New Roman" w:cs="Times New Roman"/>
          <w:szCs w:val="20"/>
        </w:rPr>
        <w:t xml:space="preserve"> to examine significant differences between the characteristics and GPA of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high school students who did and did not experience cultural discontinuity between home and school. A comparison of students who experienced higher (</w:t>
      </w:r>
      <w:r w:rsidRPr="008157BA">
        <w:rPr>
          <w:rFonts w:eastAsia="Times New Roman" w:cs="Times New Roman"/>
          <w:i/>
          <w:szCs w:val="20"/>
        </w:rPr>
        <w:t>n</w:t>
      </w:r>
      <w:r w:rsidRPr="008157BA">
        <w:rPr>
          <w:rFonts w:eastAsia="Times New Roman" w:cs="Times New Roman"/>
          <w:szCs w:val="20"/>
        </w:rPr>
        <w:t xml:space="preserve"> = 47) and lower (</w:t>
      </w:r>
      <w:r w:rsidRPr="008157BA">
        <w:rPr>
          <w:rFonts w:eastAsia="Times New Roman" w:cs="Times New Roman"/>
          <w:i/>
          <w:szCs w:val="20"/>
        </w:rPr>
        <w:t>n</w:t>
      </w:r>
      <w:r w:rsidRPr="008157BA">
        <w:rPr>
          <w:rFonts w:eastAsia="Times New Roman" w:cs="Times New Roman"/>
          <w:szCs w:val="20"/>
        </w:rPr>
        <w:t xml:space="preserve"> = 31) levels of cultural discontinuity showed many differences between the two groups. Male students were more likely to have reported experiencing cultural discontinuity than were females (57% vs. 44% higher cultural discontinuity; 68% vs. 32% lower cultural discontinuity). Similar percentages of students whose primary home language was English indicated that they experienced either higher (72%) or lower (74%) levels of cultural discontinuity between home and school. In addition, nearly equal percentages of student born in the U.S. reported experiencing higher (91%) and lower (93%) levels of cultural discontinuity. However, students with at least one parent born outside of the U.S. reported experiencing higher levels of cultural discontinuity (61%) in comparison with students who experienced lower levels of cultural discontinuity (52%). Students with higher levels of cultural discontinuity were more likely to expect to graduate from college than students with lower levels of cultural discontinuity (78% vs. 60%) </w:t>
      </w:r>
      <w:proofErr w:type="gramStart"/>
      <w:r w:rsidRPr="008157BA">
        <w:rPr>
          <w:rFonts w:eastAsia="Times New Roman" w:cs="Times New Roman"/>
          <w:szCs w:val="20"/>
        </w:rPr>
        <w:t>and also</w:t>
      </w:r>
      <w:proofErr w:type="gramEnd"/>
      <w:r w:rsidRPr="008157BA">
        <w:rPr>
          <w:rFonts w:eastAsia="Times New Roman" w:cs="Times New Roman"/>
          <w:szCs w:val="20"/>
        </w:rPr>
        <w:t xml:space="preserve"> had at least one parent who had graduated from college (22% vs. 11%). Students who experienced higher levels of cultural discontinuity also were enrolled in AP classes at greater rates than students who experienced lower levels of cultural discontinuity (21% vs. 13%), though they passed the state standardized mathematics assessment at lower rates (77% vs. 85%) even as they took a comparable mean number of mathematics courses (3.3 vs. 3.5).</w:t>
      </w:r>
    </w:p>
    <w:p w14:paraId="606FB3DF" w14:textId="77777777" w:rsidR="008157BA" w:rsidRPr="008157BA" w:rsidRDefault="008157BA" w:rsidP="008157BA">
      <w:pPr>
        <w:widowControl w:val="0"/>
        <w:spacing w:line="360" w:lineRule="auto"/>
        <w:rPr>
          <w:rFonts w:eastAsia="Times New Roman" w:cs="Times New Roman"/>
          <w:szCs w:val="20"/>
        </w:rPr>
      </w:pPr>
    </w:p>
    <w:p w14:paraId="385460AE" w14:textId="77777777" w:rsidR="008157BA" w:rsidRPr="008157BA" w:rsidRDefault="008157BA" w:rsidP="008157BA">
      <w:pPr>
        <w:widowControl w:val="0"/>
        <w:spacing w:line="360" w:lineRule="auto"/>
        <w:rPr>
          <w:rFonts w:eastAsia="Times New Roman" w:cs="Times New Roman"/>
          <w:szCs w:val="20"/>
        </w:rPr>
      </w:pPr>
      <w:r w:rsidRPr="008157BA">
        <w:rPr>
          <w:rFonts w:eastAsia="Times New Roman" w:cs="Times New Roman"/>
          <w:szCs w:val="20"/>
        </w:rPr>
        <w:lastRenderedPageBreak/>
        <w:t xml:space="preserve">Chi-square tests of significance </w:t>
      </w:r>
      <w:proofErr w:type="gramStart"/>
      <w:r w:rsidRPr="008157BA">
        <w:rPr>
          <w:rFonts w:eastAsia="Times New Roman" w:cs="Times New Roman"/>
          <w:szCs w:val="20"/>
        </w:rPr>
        <w:t>were run</w:t>
      </w:r>
      <w:proofErr w:type="gramEnd"/>
      <w:r w:rsidRPr="008157BA">
        <w:rPr>
          <w:rFonts w:eastAsia="Times New Roman" w:cs="Times New Roman"/>
          <w:szCs w:val="20"/>
        </w:rPr>
        <w:t xml:space="preserve"> to investigate whether the independent variables were associated with levels of cultural discontinuity. </w:t>
      </w:r>
      <w:proofErr w:type="gramStart"/>
      <w:r w:rsidRPr="008157BA">
        <w:rPr>
          <w:rFonts w:eastAsia="Times New Roman" w:cs="Times New Roman"/>
          <w:szCs w:val="20"/>
        </w:rPr>
        <w:t>No significant relationships were found for gender, χ</w:t>
      </w:r>
      <w:r w:rsidRPr="008157BA">
        <w:rPr>
          <w:rFonts w:eastAsia="Times New Roman" w:cs="Times New Roman"/>
          <w:szCs w:val="20"/>
          <w:vertAlign w:val="superscript"/>
        </w:rPr>
        <w:t>2</w:t>
      </w:r>
      <w:r w:rsidRPr="008157BA">
        <w:rPr>
          <w:rFonts w:eastAsia="Times New Roman" w:cs="Times New Roman"/>
          <w:szCs w:val="20"/>
        </w:rPr>
        <w:t xml:space="preserve">(1) = 0.980, </w:t>
      </w:r>
      <w:r w:rsidRPr="008157BA">
        <w:rPr>
          <w:rFonts w:eastAsia="Times New Roman" w:cs="Times New Roman"/>
          <w:i/>
          <w:szCs w:val="20"/>
        </w:rPr>
        <w:t>p</w:t>
      </w:r>
      <w:r w:rsidRPr="008157BA">
        <w:rPr>
          <w:rFonts w:eastAsia="Times New Roman" w:cs="Times New Roman"/>
          <w:szCs w:val="20"/>
        </w:rPr>
        <w:t xml:space="preserve"> &gt; .05; primary language spoken at home, χ</w:t>
      </w:r>
      <w:r w:rsidRPr="008157BA">
        <w:rPr>
          <w:rFonts w:eastAsia="Times New Roman" w:cs="Times New Roman"/>
          <w:szCs w:val="20"/>
          <w:vertAlign w:val="superscript"/>
        </w:rPr>
        <w:t>2</w:t>
      </w:r>
      <w:r w:rsidRPr="008157BA">
        <w:rPr>
          <w:rFonts w:eastAsia="Times New Roman" w:cs="Times New Roman"/>
          <w:szCs w:val="20"/>
        </w:rPr>
        <w:t xml:space="preserve">(1) = 0.056, </w:t>
      </w:r>
      <w:r w:rsidRPr="008157BA">
        <w:rPr>
          <w:rFonts w:eastAsia="Times New Roman" w:cs="Times New Roman"/>
          <w:i/>
          <w:szCs w:val="20"/>
        </w:rPr>
        <w:t>p</w:t>
      </w:r>
      <w:r w:rsidRPr="008157BA">
        <w:rPr>
          <w:rFonts w:eastAsia="Times New Roman" w:cs="Times New Roman"/>
          <w:szCs w:val="20"/>
        </w:rPr>
        <w:t xml:space="preserve"> &gt; .05; whether or not a student was born in the U.S., χ</w:t>
      </w:r>
      <w:r w:rsidRPr="008157BA">
        <w:rPr>
          <w:rFonts w:eastAsia="Times New Roman" w:cs="Times New Roman"/>
          <w:szCs w:val="20"/>
          <w:vertAlign w:val="superscript"/>
        </w:rPr>
        <w:t>2</w:t>
      </w:r>
      <w:r w:rsidRPr="008157BA">
        <w:rPr>
          <w:rFonts w:eastAsia="Times New Roman" w:cs="Times New Roman"/>
          <w:szCs w:val="20"/>
        </w:rPr>
        <w:t xml:space="preserve">(1) = 0.094, </w:t>
      </w:r>
      <w:r w:rsidRPr="008157BA">
        <w:rPr>
          <w:rFonts w:eastAsia="Times New Roman" w:cs="Times New Roman"/>
          <w:i/>
          <w:szCs w:val="20"/>
        </w:rPr>
        <w:t>p</w:t>
      </w:r>
      <w:r w:rsidRPr="008157BA">
        <w:rPr>
          <w:rFonts w:eastAsia="Times New Roman" w:cs="Times New Roman"/>
          <w:szCs w:val="20"/>
        </w:rPr>
        <w:t xml:space="preserve"> &gt; .05; whether or not at least one parent was born in the U.S., χ</w:t>
      </w:r>
      <w:r w:rsidRPr="008157BA">
        <w:rPr>
          <w:rFonts w:eastAsia="Times New Roman" w:cs="Times New Roman"/>
          <w:szCs w:val="20"/>
          <w:vertAlign w:val="superscript"/>
        </w:rPr>
        <w:t>2</w:t>
      </w:r>
      <w:r w:rsidRPr="008157BA">
        <w:rPr>
          <w:rFonts w:eastAsia="Times New Roman" w:cs="Times New Roman"/>
          <w:szCs w:val="20"/>
        </w:rPr>
        <w:t xml:space="preserve">(1) = 0.665, </w:t>
      </w:r>
      <w:r w:rsidRPr="008157BA">
        <w:rPr>
          <w:rFonts w:eastAsia="Times New Roman" w:cs="Times New Roman"/>
          <w:i/>
          <w:szCs w:val="20"/>
        </w:rPr>
        <w:t>p</w:t>
      </w:r>
      <w:r w:rsidRPr="008157BA">
        <w:rPr>
          <w:rFonts w:eastAsia="Times New Roman" w:cs="Times New Roman"/>
          <w:szCs w:val="20"/>
        </w:rPr>
        <w:t xml:space="preserve"> &gt; .05; whether or not a student expected to complete a 4-year college degree, χ</w:t>
      </w:r>
      <w:r w:rsidRPr="008157BA">
        <w:rPr>
          <w:rFonts w:eastAsia="Times New Roman" w:cs="Times New Roman"/>
          <w:szCs w:val="20"/>
          <w:vertAlign w:val="superscript"/>
        </w:rPr>
        <w:t>2</w:t>
      </w:r>
      <w:r w:rsidRPr="008157BA">
        <w:rPr>
          <w:rFonts w:eastAsia="Times New Roman" w:cs="Times New Roman"/>
          <w:szCs w:val="20"/>
        </w:rPr>
        <w:t xml:space="preserve">(1) = 2.944, </w:t>
      </w:r>
      <w:r w:rsidRPr="008157BA">
        <w:rPr>
          <w:rFonts w:eastAsia="Times New Roman" w:cs="Times New Roman"/>
          <w:i/>
          <w:szCs w:val="20"/>
        </w:rPr>
        <w:t>p</w:t>
      </w:r>
      <w:r w:rsidRPr="008157BA">
        <w:rPr>
          <w:rFonts w:eastAsia="Times New Roman" w:cs="Times New Roman"/>
          <w:szCs w:val="20"/>
        </w:rPr>
        <w:t xml:space="preserve"> &gt; .05; and whether or not at least one parent had completed a 4-year college degree, χ</w:t>
      </w:r>
      <w:r w:rsidRPr="008157BA">
        <w:rPr>
          <w:rFonts w:eastAsia="Times New Roman" w:cs="Times New Roman"/>
          <w:szCs w:val="20"/>
          <w:vertAlign w:val="superscript"/>
        </w:rPr>
        <w:t>2</w:t>
      </w:r>
      <w:r w:rsidRPr="008157BA">
        <w:rPr>
          <w:rFonts w:eastAsia="Times New Roman" w:cs="Times New Roman"/>
          <w:szCs w:val="20"/>
        </w:rPr>
        <w:t xml:space="preserve">(1) = 1.562, </w:t>
      </w:r>
      <w:r w:rsidRPr="008157BA">
        <w:rPr>
          <w:rFonts w:eastAsia="Times New Roman" w:cs="Times New Roman"/>
          <w:i/>
          <w:szCs w:val="20"/>
        </w:rPr>
        <w:t>p</w:t>
      </w:r>
      <w:r w:rsidRPr="008157BA">
        <w:rPr>
          <w:rFonts w:eastAsia="Times New Roman" w:cs="Times New Roman"/>
          <w:szCs w:val="20"/>
        </w:rPr>
        <w:t xml:space="preserve"> &gt; .05.</w:t>
      </w:r>
      <w:proofErr w:type="gramEnd"/>
      <w:r w:rsidRPr="008157BA">
        <w:rPr>
          <w:rFonts w:eastAsia="Times New Roman" w:cs="Times New Roman"/>
          <w:szCs w:val="20"/>
        </w:rPr>
        <w:t xml:space="preserve"> Descriptive findings for cultural discontinuity </w:t>
      </w:r>
      <w:proofErr w:type="gramStart"/>
      <w:r w:rsidRPr="008157BA">
        <w:rPr>
          <w:rFonts w:eastAsia="Times New Roman" w:cs="Times New Roman"/>
          <w:szCs w:val="20"/>
        </w:rPr>
        <w:t>are summarized</w:t>
      </w:r>
      <w:proofErr w:type="gramEnd"/>
      <w:r w:rsidRPr="008157BA">
        <w:rPr>
          <w:rFonts w:eastAsia="Times New Roman" w:cs="Times New Roman"/>
          <w:szCs w:val="20"/>
        </w:rPr>
        <w:t xml:space="preserve"> in Table 2. </w:t>
      </w:r>
    </w:p>
    <w:p w14:paraId="180DD7EB" w14:textId="77777777" w:rsidR="008157BA" w:rsidRPr="008157BA" w:rsidRDefault="008157BA" w:rsidP="008157BA">
      <w:pPr>
        <w:widowControl w:val="0"/>
        <w:spacing w:line="360" w:lineRule="auto"/>
        <w:rPr>
          <w:rFonts w:eastAsia="Times New Roman" w:cs="Times New Roman"/>
          <w:szCs w:val="20"/>
        </w:rPr>
      </w:pPr>
    </w:p>
    <w:tbl>
      <w:tblPr>
        <w:tblW w:w="0" w:type="auto"/>
        <w:jc w:val="center"/>
        <w:tblLook w:val="04A0" w:firstRow="1" w:lastRow="0" w:firstColumn="1" w:lastColumn="0" w:noHBand="0" w:noVBand="1"/>
      </w:tblPr>
      <w:tblGrid>
        <w:gridCol w:w="3780"/>
        <w:gridCol w:w="2610"/>
        <w:gridCol w:w="2358"/>
        <w:gridCol w:w="7"/>
      </w:tblGrid>
      <w:tr w:rsidR="008157BA" w:rsidRPr="008157BA" w14:paraId="1CA21F3B" w14:textId="77777777" w:rsidTr="008157BA">
        <w:trPr>
          <w:jc w:val="center"/>
        </w:trPr>
        <w:tc>
          <w:tcPr>
            <w:tcW w:w="8755" w:type="dxa"/>
            <w:gridSpan w:val="4"/>
            <w:shd w:val="clear" w:color="auto" w:fill="auto"/>
          </w:tcPr>
          <w:p w14:paraId="66210AA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Table 2. Descriptive Comparison of Students Who Experienced Cultural Discontinuity</w:t>
            </w:r>
          </w:p>
        </w:tc>
      </w:tr>
      <w:tr w:rsidR="008157BA" w:rsidRPr="008157BA" w14:paraId="4B28240C" w14:textId="77777777" w:rsidTr="008157BA">
        <w:trPr>
          <w:gridAfter w:val="1"/>
          <w:wAfter w:w="7" w:type="dxa"/>
          <w:jc w:val="center"/>
        </w:trPr>
        <w:tc>
          <w:tcPr>
            <w:tcW w:w="3780" w:type="dxa"/>
            <w:tcBorders>
              <w:top w:val="single" w:sz="4" w:space="0" w:color="auto"/>
              <w:bottom w:val="single" w:sz="4" w:space="0" w:color="auto"/>
            </w:tcBorders>
            <w:shd w:val="clear" w:color="auto" w:fill="auto"/>
          </w:tcPr>
          <w:p w14:paraId="727A3B79"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c>
          <w:tcPr>
            <w:tcW w:w="2610" w:type="dxa"/>
            <w:tcBorders>
              <w:top w:val="single" w:sz="4" w:space="0" w:color="auto"/>
              <w:bottom w:val="single" w:sz="4" w:space="0" w:color="auto"/>
            </w:tcBorders>
            <w:shd w:val="clear" w:color="auto" w:fill="auto"/>
          </w:tcPr>
          <w:p w14:paraId="564874F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Students with higher levels of cultural discontinuity</w:t>
            </w:r>
          </w:p>
        </w:tc>
        <w:tc>
          <w:tcPr>
            <w:tcW w:w="2358" w:type="dxa"/>
            <w:tcBorders>
              <w:top w:val="single" w:sz="4" w:space="0" w:color="auto"/>
              <w:bottom w:val="single" w:sz="4" w:space="0" w:color="auto"/>
            </w:tcBorders>
            <w:shd w:val="clear" w:color="auto" w:fill="auto"/>
          </w:tcPr>
          <w:p w14:paraId="34BCD44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Students with lower levels of cultural discontinuity</w:t>
            </w:r>
          </w:p>
        </w:tc>
      </w:tr>
      <w:tr w:rsidR="008157BA" w:rsidRPr="008157BA" w14:paraId="27138E15" w14:textId="77777777" w:rsidTr="008157BA">
        <w:trPr>
          <w:gridAfter w:val="1"/>
          <w:wAfter w:w="7" w:type="dxa"/>
          <w:jc w:val="center"/>
        </w:trPr>
        <w:tc>
          <w:tcPr>
            <w:tcW w:w="3780" w:type="dxa"/>
            <w:tcBorders>
              <w:top w:val="single" w:sz="4" w:space="0" w:color="auto"/>
              <w:bottom w:val="single" w:sz="4" w:space="0" w:color="auto"/>
            </w:tcBorders>
            <w:shd w:val="clear" w:color="auto" w:fill="auto"/>
          </w:tcPr>
          <w:p w14:paraId="5DFBB70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c>
          <w:tcPr>
            <w:tcW w:w="2610" w:type="dxa"/>
            <w:tcBorders>
              <w:top w:val="single" w:sz="4" w:space="0" w:color="auto"/>
              <w:bottom w:val="single" w:sz="4" w:space="0" w:color="auto"/>
            </w:tcBorders>
            <w:shd w:val="clear" w:color="auto" w:fill="auto"/>
          </w:tcPr>
          <w:p w14:paraId="1CAA4DA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 (</w:t>
            </w:r>
            <w:r w:rsidRPr="008157BA">
              <w:rPr>
                <w:rFonts w:ascii="Times New Roman" w:hAnsi="Times New Roman"/>
                <w:i/>
                <w:sz w:val="20"/>
                <w:szCs w:val="20"/>
              </w:rPr>
              <w:t>n</w:t>
            </w:r>
            <w:r w:rsidRPr="008157BA">
              <w:rPr>
                <w:rFonts w:ascii="Times New Roman" w:hAnsi="Times New Roman"/>
                <w:sz w:val="20"/>
                <w:szCs w:val="20"/>
              </w:rPr>
              <w:t xml:space="preserve"> = 47)</w:t>
            </w:r>
          </w:p>
        </w:tc>
        <w:tc>
          <w:tcPr>
            <w:tcW w:w="2358" w:type="dxa"/>
            <w:tcBorders>
              <w:top w:val="single" w:sz="4" w:space="0" w:color="auto"/>
              <w:bottom w:val="single" w:sz="4" w:space="0" w:color="auto"/>
            </w:tcBorders>
            <w:shd w:val="clear" w:color="auto" w:fill="auto"/>
          </w:tcPr>
          <w:p w14:paraId="4C71068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 (</w:t>
            </w:r>
            <w:r w:rsidRPr="008157BA">
              <w:rPr>
                <w:rFonts w:ascii="Times New Roman" w:hAnsi="Times New Roman"/>
                <w:i/>
                <w:sz w:val="20"/>
                <w:szCs w:val="20"/>
              </w:rPr>
              <w:t>n</w:t>
            </w:r>
            <w:r w:rsidRPr="008157BA">
              <w:rPr>
                <w:rFonts w:ascii="Times New Roman" w:hAnsi="Times New Roman"/>
                <w:sz w:val="20"/>
                <w:szCs w:val="20"/>
              </w:rPr>
              <w:t xml:space="preserve"> = 31)</w:t>
            </w:r>
          </w:p>
        </w:tc>
      </w:tr>
      <w:tr w:rsidR="008157BA" w:rsidRPr="008157BA" w14:paraId="31F9D1D2" w14:textId="77777777" w:rsidTr="008157BA">
        <w:trPr>
          <w:gridAfter w:val="1"/>
          <w:wAfter w:w="7" w:type="dxa"/>
          <w:jc w:val="center"/>
        </w:trPr>
        <w:tc>
          <w:tcPr>
            <w:tcW w:w="3780" w:type="dxa"/>
            <w:tcBorders>
              <w:top w:val="single" w:sz="4" w:space="0" w:color="auto"/>
            </w:tcBorders>
            <w:shd w:val="clear" w:color="auto" w:fill="auto"/>
          </w:tcPr>
          <w:p w14:paraId="343E81D6"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Socio-demographic variables</w:t>
            </w:r>
          </w:p>
        </w:tc>
        <w:tc>
          <w:tcPr>
            <w:tcW w:w="2610" w:type="dxa"/>
            <w:tcBorders>
              <w:top w:val="single" w:sz="4" w:space="0" w:color="auto"/>
            </w:tcBorders>
            <w:shd w:val="clear" w:color="auto" w:fill="auto"/>
          </w:tcPr>
          <w:p w14:paraId="5D07D026"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tcBorders>
              <w:top w:val="single" w:sz="4" w:space="0" w:color="auto"/>
            </w:tcBorders>
            <w:shd w:val="clear" w:color="auto" w:fill="auto"/>
          </w:tcPr>
          <w:p w14:paraId="0FC920B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15277E66" w14:textId="77777777" w:rsidTr="008157BA">
        <w:trPr>
          <w:gridAfter w:val="1"/>
          <w:wAfter w:w="7" w:type="dxa"/>
          <w:jc w:val="center"/>
        </w:trPr>
        <w:tc>
          <w:tcPr>
            <w:tcW w:w="3780" w:type="dxa"/>
            <w:shd w:val="clear" w:color="auto" w:fill="auto"/>
          </w:tcPr>
          <w:p w14:paraId="57F332F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Gender</w:t>
            </w:r>
          </w:p>
        </w:tc>
        <w:tc>
          <w:tcPr>
            <w:tcW w:w="2610" w:type="dxa"/>
            <w:shd w:val="clear" w:color="auto" w:fill="auto"/>
          </w:tcPr>
          <w:p w14:paraId="27F7FB9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F7C787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018CBCFB" w14:textId="77777777" w:rsidTr="008157BA">
        <w:trPr>
          <w:gridAfter w:val="1"/>
          <w:wAfter w:w="7" w:type="dxa"/>
          <w:jc w:val="center"/>
        </w:trPr>
        <w:tc>
          <w:tcPr>
            <w:tcW w:w="3780" w:type="dxa"/>
            <w:shd w:val="clear" w:color="auto" w:fill="auto"/>
          </w:tcPr>
          <w:p w14:paraId="2728D60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Male</w:t>
            </w:r>
          </w:p>
        </w:tc>
        <w:tc>
          <w:tcPr>
            <w:tcW w:w="2610" w:type="dxa"/>
            <w:shd w:val="clear" w:color="auto" w:fill="auto"/>
          </w:tcPr>
          <w:p w14:paraId="64A70B7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56.5</w:t>
            </w:r>
          </w:p>
        </w:tc>
        <w:tc>
          <w:tcPr>
            <w:tcW w:w="2358" w:type="dxa"/>
            <w:shd w:val="clear" w:color="auto" w:fill="auto"/>
          </w:tcPr>
          <w:p w14:paraId="776F3D3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67.7</w:t>
            </w:r>
          </w:p>
        </w:tc>
      </w:tr>
      <w:tr w:rsidR="008157BA" w:rsidRPr="008157BA" w14:paraId="6DF4F6C1" w14:textId="77777777" w:rsidTr="008157BA">
        <w:trPr>
          <w:gridAfter w:val="1"/>
          <w:wAfter w:w="7" w:type="dxa"/>
          <w:jc w:val="center"/>
        </w:trPr>
        <w:tc>
          <w:tcPr>
            <w:tcW w:w="3780" w:type="dxa"/>
            <w:shd w:val="clear" w:color="auto" w:fill="auto"/>
          </w:tcPr>
          <w:p w14:paraId="0F3A93A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Female</w:t>
            </w:r>
          </w:p>
        </w:tc>
        <w:tc>
          <w:tcPr>
            <w:tcW w:w="2610" w:type="dxa"/>
            <w:shd w:val="clear" w:color="auto" w:fill="auto"/>
          </w:tcPr>
          <w:p w14:paraId="553FE096"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43.5</w:t>
            </w:r>
          </w:p>
        </w:tc>
        <w:tc>
          <w:tcPr>
            <w:tcW w:w="2358" w:type="dxa"/>
            <w:shd w:val="clear" w:color="auto" w:fill="auto"/>
          </w:tcPr>
          <w:p w14:paraId="0E97BB3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32.3</w:t>
            </w:r>
          </w:p>
        </w:tc>
      </w:tr>
      <w:tr w:rsidR="008157BA" w:rsidRPr="008157BA" w14:paraId="41261336" w14:textId="77777777" w:rsidTr="008157BA">
        <w:trPr>
          <w:gridAfter w:val="1"/>
          <w:wAfter w:w="7" w:type="dxa"/>
          <w:jc w:val="center"/>
        </w:trPr>
        <w:tc>
          <w:tcPr>
            <w:tcW w:w="3780" w:type="dxa"/>
            <w:shd w:val="clear" w:color="auto" w:fill="auto"/>
          </w:tcPr>
          <w:p w14:paraId="69AB2D8A"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Primary language spoken at home</w:t>
            </w:r>
          </w:p>
        </w:tc>
        <w:tc>
          <w:tcPr>
            <w:tcW w:w="2610" w:type="dxa"/>
            <w:shd w:val="clear" w:color="auto" w:fill="auto"/>
          </w:tcPr>
          <w:p w14:paraId="66FF08D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102BD5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660082AD" w14:textId="77777777" w:rsidTr="008157BA">
        <w:trPr>
          <w:gridAfter w:val="1"/>
          <w:wAfter w:w="7" w:type="dxa"/>
          <w:jc w:val="center"/>
        </w:trPr>
        <w:tc>
          <w:tcPr>
            <w:tcW w:w="3780" w:type="dxa"/>
            <w:shd w:val="clear" w:color="auto" w:fill="auto"/>
          </w:tcPr>
          <w:p w14:paraId="6CBBD45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English</w:t>
            </w:r>
          </w:p>
        </w:tc>
        <w:tc>
          <w:tcPr>
            <w:tcW w:w="2610" w:type="dxa"/>
            <w:shd w:val="clear" w:color="auto" w:fill="auto"/>
          </w:tcPr>
          <w:p w14:paraId="7CCDB94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71.7</w:t>
            </w:r>
          </w:p>
        </w:tc>
        <w:tc>
          <w:tcPr>
            <w:tcW w:w="2358" w:type="dxa"/>
            <w:shd w:val="clear" w:color="auto" w:fill="auto"/>
          </w:tcPr>
          <w:p w14:paraId="7B4A21D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74.2</w:t>
            </w:r>
          </w:p>
        </w:tc>
      </w:tr>
      <w:tr w:rsidR="008157BA" w:rsidRPr="008157BA" w14:paraId="669A4DB5" w14:textId="77777777" w:rsidTr="008157BA">
        <w:trPr>
          <w:gridAfter w:val="1"/>
          <w:wAfter w:w="7" w:type="dxa"/>
          <w:jc w:val="center"/>
        </w:trPr>
        <w:tc>
          <w:tcPr>
            <w:tcW w:w="3780" w:type="dxa"/>
            <w:shd w:val="clear" w:color="auto" w:fill="auto"/>
          </w:tcPr>
          <w:p w14:paraId="3CA21DC2"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Not English</w:t>
            </w:r>
          </w:p>
        </w:tc>
        <w:tc>
          <w:tcPr>
            <w:tcW w:w="2610" w:type="dxa"/>
            <w:shd w:val="clear" w:color="auto" w:fill="auto"/>
          </w:tcPr>
          <w:p w14:paraId="325C7F6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28.3</w:t>
            </w:r>
          </w:p>
        </w:tc>
        <w:tc>
          <w:tcPr>
            <w:tcW w:w="2358" w:type="dxa"/>
            <w:shd w:val="clear" w:color="auto" w:fill="auto"/>
          </w:tcPr>
          <w:p w14:paraId="219184A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25.8</w:t>
            </w:r>
          </w:p>
        </w:tc>
      </w:tr>
      <w:tr w:rsidR="008157BA" w:rsidRPr="008157BA" w14:paraId="1D32A203" w14:textId="77777777" w:rsidTr="008157BA">
        <w:trPr>
          <w:gridAfter w:val="1"/>
          <w:wAfter w:w="7" w:type="dxa"/>
          <w:jc w:val="center"/>
        </w:trPr>
        <w:tc>
          <w:tcPr>
            <w:tcW w:w="3780" w:type="dxa"/>
            <w:shd w:val="clear" w:color="auto" w:fill="auto"/>
          </w:tcPr>
          <w:p w14:paraId="48A4198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Student born in the U.S.</w:t>
            </w:r>
          </w:p>
        </w:tc>
        <w:tc>
          <w:tcPr>
            <w:tcW w:w="2610" w:type="dxa"/>
            <w:shd w:val="clear" w:color="auto" w:fill="auto"/>
          </w:tcPr>
          <w:p w14:paraId="5A753FA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5F17555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03173BE4" w14:textId="77777777" w:rsidTr="008157BA">
        <w:trPr>
          <w:gridAfter w:val="1"/>
          <w:wAfter w:w="7" w:type="dxa"/>
          <w:jc w:val="center"/>
        </w:trPr>
        <w:tc>
          <w:tcPr>
            <w:tcW w:w="3780" w:type="dxa"/>
            <w:shd w:val="clear" w:color="auto" w:fill="auto"/>
          </w:tcPr>
          <w:p w14:paraId="3A7DFCA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2610" w:type="dxa"/>
            <w:shd w:val="clear" w:color="auto" w:fill="auto"/>
          </w:tcPr>
          <w:p w14:paraId="0E53131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91.1</w:t>
            </w:r>
          </w:p>
        </w:tc>
        <w:tc>
          <w:tcPr>
            <w:tcW w:w="2358" w:type="dxa"/>
            <w:shd w:val="clear" w:color="auto" w:fill="auto"/>
          </w:tcPr>
          <w:p w14:paraId="240F896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93.1</w:t>
            </w:r>
          </w:p>
        </w:tc>
      </w:tr>
      <w:tr w:rsidR="008157BA" w:rsidRPr="008157BA" w14:paraId="4E365098" w14:textId="77777777" w:rsidTr="008157BA">
        <w:trPr>
          <w:gridAfter w:val="1"/>
          <w:wAfter w:w="7" w:type="dxa"/>
          <w:jc w:val="center"/>
        </w:trPr>
        <w:tc>
          <w:tcPr>
            <w:tcW w:w="3780" w:type="dxa"/>
            <w:shd w:val="clear" w:color="auto" w:fill="auto"/>
          </w:tcPr>
          <w:p w14:paraId="2D615CE4"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2610" w:type="dxa"/>
            <w:shd w:val="clear" w:color="auto" w:fill="auto"/>
          </w:tcPr>
          <w:p w14:paraId="0B35601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8.9</w:t>
            </w:r>
          </w:p>
        </w:tc>
        <w:tc>
          <w:tcPr>
            <w:tcW w:w="2358" w:type="dxa"/>
            <w:shd w:val="clear" w:color="auto" w:fill="auto"/>
          </w:tcPr>
          <w:p w14:paraId="19B4F56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6.9</w:t>
            </w:r>
          </w:p>
        </w:tc>
      </w:tr>
      <w:tr w:rsidR="008157BA" w:rsidRPr="008157BA" w14:paraId="0E255317" w14:textId="77777777" w:rsidTr="008157BA">
        <w:trPr>
          <w:gridAfter w:val="1"/>
          <w:wAfter w:w="7" w:type="dxa"/>
          <w:jc w:val="center"/>
        </w:trPr>
        <w:tc>
          <w:tcPr>
            <w:tcW w:w="3780" w:type="dxa"/>
            <w:shd w:val="clear" w:color="auto" w:fill="auto"/>
          </w:tcPr>
          <w:p w14:paraId="14BEC69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At least one parent born in the U.S.</w:t>
            </w:r>
          </w:p>
        </w:tc>
        <w:tc>
          <w:tcPr>
            <w:tcW w:w="2610" w:type="dxa"/>
            <w:shd w:val="clear" w:color="auto" w:fill="auto"/>
          </w:tcPr>
          <w:p w14:paraId="75D4590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E675B4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7E9781D7" w14:textId="77777777" w:rsidTr="008157BA">
        <w:trPr>
          <w:gridAfter w:val="1"/>
          <w:wAfter w:w="7" w:type="dxa"/>
          <w:jc w:val="center"/>
        </w:trPr>
        <w:tc>
          <w:tcPr>
            <w:tcW w:w="3780" w:type="dxa"/>
            <w:shd w:val="clear" w:color="auto" w:fill="auto"/>
          </w:tcPr>
          <w:p w14:paraId="48F157E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2610" w:type="dxa"/>
            <w:shd w:val="clear" w:color="auto" w:fill="auto"/>
          </w:tcPr>
          <w:p w14:paraId="6DC6C5E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61.4</w:t>
            </w:r>
          </w:p>
        </w:tc>
        <w:tc>
          <w:tcPr>
            <w:tcW w:w="2358" w:type="dxa"/>
            <w:shd w:val="clear" w:color="auto" w:fill="auto"/>
          </w:tcPr>
          <w:p w14:paraId="7DA358E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51.7</w:t>
            </w:r>
          </w:p>
        </w:tc>
      </w:tr>
      <w:tr w:rsidR="008157BA" w:rsidRPr="008157BA" w14:paraId="3134BFF6" w14:textId="77777777" w:rsidTr="008157BA">
        <w:trPr>
          <w:gridAfter w:val="1"/>
          <w:wAfter w:w="7" w:type="dxa"/>
          <w:jc w:val="center"/>
        </w:trPr>
        <w:tc>
          <w:tcPr>
            <w:tcW w:w="3780" w:type="dxa"/>
            <w:shd w:val="clear" w:color="auto" w:fill="auto"/>
          </w:tcPr>
          <w:p w14:paraId="155D1E27"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2610" w:type="dxa"/>
            <w:shd w:val="clear" w:color="auto" w:fill="auto"/>
          </w:tcPr>
          <w:p w14:paraId="305A7A3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38.6</w:t>
            </w:r>
          </w:p>
        </w:tc>
        <w:tc>
          <w:tcPr>
            <w:tcW w:w="2358" w:type="dxa"/>
            <w:shd w:val="clear" w:color="auto" w:fill="auto"/>
          </w:tcPr>
          <w:p w14:paraId="1A0E49D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48.3</w:t>
            </w:r>
          </w:p>
        </w:tc>
      </w:tr>
      <w:tr w:rsidR="008157BA" w:rsidRPr="008157BA" w14:paraId="36F4C2F8" w14:textId="77777777" w:rsidTr="008157BA">
        <w:trPr>
          <w:gridAfter w:val="1"/>
          <w:wAfter w:w="7" w:type="dxa"/>
          <w:jc w:val="center"/>
        </w:trPr>
        <w:tc>
          <w:tcPr>
            <w:tcW w:w="3780" w:type="dxa"/>
            <w:shd w:val="clear" w:color="auto" w:fill="auto"/>
          </w:tcPr>
          <w:p w14:paraId="4FB512F0"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Student expected level of education</w:t>
            </w:r>
          </w:p>
        </w:tc>
        <w:tc>
          <w:tcPr>
            <w:tcW w:w="2610" w:type="dxa"/>
            <w:shd w:val="clear" w:color="auto" w:fill="auto"/>
          </w:tcPr>
          <w:p w14:paraId="70A4617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D3C221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70BD797D" w14:textId="77777777" w:rsidTr="008157BA">
        <w:trPr>
          <w:gridAfter w:val="1"/>
          <w:wAfter w:w="7" w:type="dxa"/>
          <w:jc w:val="center"/>
        </w:trPr>
        <w:tc>
          <w:tcPr>
            <w:tcW w:w="3780" w:type="dxa"/>
            <w:shd w:val="clear" w:color="auto" w:fill="auto"/>
          </w:tcPr>
          <w:p w14:paraId="66E86C3F"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Complete a 4-year college degree</w:t>
            </w:r>
          </w:p>
        </w:tc>
        <w:tc>
          <w:tcPr>
            <w:tcW w:w="2610" w:type="dxa"/>
            <w:shd w:val="clear" w:color="auto" w:fill="auto"/>
          </w:tcPr>
          <w:p w14:paraId="7D8DAA0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78.3</w:t>
            </w:r>
          </w:p>
        </w:tc>
        <w:tc>
          <w:tcPr>
            <w:tcW w:w="2358" w:type="dxa"/>
            <w:shd w:val="clear" w:color="auto" w:fill="auto"/>
          </w:tcPr>
          <w:p w14:paraId="3EC0425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60.0</w:t>
            </w:r>
          </w:p>
        </w:tc>
      </w:tr>
      <w:tr w:rsidR="008157BA" w:rsidRPr="008157BA" w14:paraId="1C8CB088" w14:textId="77777777" w:rsidTr="008157BA">
        <w:trPr>
          <w:gridAfter w:val="1"/>
          <w:wAfter w:w="7" w:type="dxa"/>
          <w:jc w:val="center"/>
        </w:trPr>
        <w:tc>
          <w:tcPr>
            <w:tcW w:w="3780" w:type="dxa"/>
            <w:shd w:val="clear" w:color="auto" w:fill="auto"/>
          </w:tcPr>
          <w:p w14:paraId="2FEA9C9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Not complete a 4-year college degree</w:t>
            </w:r>
          </w:p>
        </w:tc>
        <w:tc>
          <w:tcPr>
            <w:tcW w:w="2610" w:type="dxa"/>
            <w:shd w:val="clear" w:color="auto" w:fill="auto"/>
          </w:tcPr>
          <w:p w14:paraId="5686CB3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21.7</w:t>
            </w:r>
          </w:p>
        </w:tc>
        <w:tc>
          <w:tcPr>
            <w:tcW w:w="2358" w:type="dxa"/>
            <w:shd w:val="clear" w:color="auto" w:fill="auto"/>
          </w:tcPr>
          <w:p w14:paraId="0C2FB05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40.0</w:t>
            </w:r>
          </w:p>
        </w:tc>
      </w:tr>
      <w:tr w:rsidR="008157BA" w:rsidRPr="008157BA" w14:paraId="5ED7C2F7" w14:textId="77777777" w:rsidTr="008157BA">
        <w:trPr>
          <w:gridAfter w:val="1"/>
          <w:wAfter w:w="7" w:type="dxa"/>
          <w:jc w:val="center"/>
        </w:trPr>
        <w:tc>
          <w:tcPr>
            <w:tcW w:w="3780" w:type="dxa"/>
            <w:shd w:val="clear" w:color="auto" w:fill="auto"/>
          </w:tcPr>
          <w:p w14:paraId="5C5D0A5A"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Education level of at least one parent</w:t>
            </w:r>
          </w:p>
        </w:tc>
        <w:tc>
          <w:tcPr>
            <w:tcW w:w="2610" w:type="dxa"/>
            <w:shd w:val="clear" w:color="auto" w:fill="auto"/>
          </w:tcPr>
          <w:p w14:paraId="7862FA5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082A6E5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39CD5012" w14:textId="77777777" w:rsidTr="008157BA">
        <w:trPr>
          <w:gridAfter w:val="1"/>
          <w:wAfter w:w="7" w:type="dxa"/>
          <w:jc w:val="center"/>
        </w:trPr>
        <w:tc>
          <w:tcPr>
            <w:tcW w:w="3780" w:type="dxa"/>
            <w:shd w:val="clear" w:color="auto" w:fill="auto"/>
          </w:tcPr>
          <w:p w14:paraId="165F62E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Completed a 4-year college degree</w:t>
            </w:r>
          </w:p>
        </w:tc>
        <w:tc>
          <w:tcPr>
            <w:tcW w:w="2610" w:type="dxa"/>
            <w:shd w:val="clear" w:color="auto" w:fill="auto"/>
          </w:tcPr>
          <w:p w14:paraId="64615A2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22.2</w:t>
            </w:r>
          </w:p>
        </w:tc>
        <w:tc>
          <w:tcPr>
            <w:tcW w:w="2358" w:type="dxa"/>
            <w:shd w:val="clear" w:color="auto" w:fill="auto"/>
          </w:tcPr>
          <w:p w14:paraId="05CD8E0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10.7</w:t>
            </w:r>
          </w:p>
        </w:tc>
      </w:tr>
      <w:tr w:rsidR="008157BA" w:rsidRPr="008157BA" w14:paraId="0D0769C6" w14:textId="77777777" w:rsidTr="008157BA">
        <w:trPr>
          <w:gridAfter w:val="1"/>
          <w:wAfter w:w="7" w:type="dxa"/>
          <w:jc w:val="center"/>
        </w:trPr>
        <w:tc>
          <w:tcPr>
            <w:tcW w:w="3780" w:type="dxa"/>
            <w:shd w:val="clear" w:color="auto" w:fill="auto"/>
          </w:tcPr>
          <w:p w14:paraId="1485939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Did not complete a 4-year college degree</w:t>
            </w:r>
          </w:p>
        </w:tc>
        <w:tc>
          <w:tcPr>
            <w:tcW w:w="2610" w:type="dxa"/>
            <w:shd w:val="clear" w:color="auto" w:fill="auto"/>
          </w:tcPr>
          <w:p w14:paraId="637CB60A"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77.8</w:t>
            </w:r>
          </w:p>
        </w:tc>
        <w:tc>
          <w:tcPr>
            <w:tcW w:w="2358" w:type="dxa"/>
            <w:shd w:val="clear" w:color="auto" w:fill="auto"/>
          </w:tcPr>
          <w:p w14:paraId="42608CD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89.3</w:t>
            </w:r>
          </w:p>
        </w:tc>
      </w:tr>
      <w:tr w:rsidR="008157BA" w:rsidRPr="008157BA" w14:paraId="2F80C83B" w14:textId="77777777" w:rsidTr="008157BA">
        <w:trPr>
          <w:gridAfter w:val="1"/>
          <w:wAfter w:w="7" w:type="dxa"/>
          <w:jc w:val="center"/>
        </w:trPr>
        <w:tc>
          <w:tcPr>
            <w:tcW w:w="3780" w:type="dxa"/>
            <w:shd w:val="clear" w:color="auto" w:fill="auto"/>
          </w:tcPr>
          <w:p w14:paraId="707192B7"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Academic experiences</w:t>
            </w:r>
          </w:p>
        </w:tc>
        <w:tc>
          <w:tcPr>
            <w:tcW w:w="2610" w:type="dxa"/>
            <w:shd w:val="clear" w:color="auto" w:fill="auto"/>
          </w:tcPr>
          <w:p w14:paraId="501662C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05D74BBA"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403A28E6" w14:textId="77777777" w:rsidTr="008157BA">
        <w:trPr>
          <w:gridAfter w:val="1"/>
          <w:wAfter w:w="7" w:type="dxa"/>
          <w:jc w:val="center"/>
        </w:trPr>
        <w:tc>
          <w:tcPr>
            <w:tcW w:w="3780" w:type="dxa"/>
            <w:shd w:val="clear" w:color="auto" w:fill="auto"/>
          </w:tcPr>
          <w:p w14:paraId="7A8E58F8"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Enrolled in AP classes </w:t>
            </w:r>
          </w:p>
        </w:tc>
        <w:tc>
          <w:tcPr>
            <w:tcW w:w="2610" w:type="dxa"/>
            <w:shd w:val="clear" w:color="auto" w:fill="auto"/>
          </w:tcPr>
          <w:p w14:paraId="41F8249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7A1AB6B"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12B7EC46" w14:textId="77777777" w:rsidTr="008157BA">
        <w:trPr>
          <w:gridAfter w:val="1"/>
          <w:wAfter w:w="7" w:type="dxa"/>
          <w:jc w:val="center"/>
        </w:trPr>
        <w:tc>
          <w:tcPr>
            <w:tcW w:w="3780" w:type="dxa"/>
            <w:shd w:val="clear" w:color="auto" w:fill="auto"/>
          </w:tcPr>
          <w:p w14:paraId="123FD128"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Yes</w:t>
            </w:r>
          </w:p>
        </w:tc>
        <w:tc>
          <w:tcPr>
            <w:tcW w:w="2610" w:type="dxa"/>
            <w:shd w:val="clear" w:color="auto" w:fill="auto"/>
          </w:tcPr>
          <w:p w14:paraId="3547979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20.5</w:t>
            </w:r>
          </w:p>
        </w:tc>
        <w:tc>
          <w:tcPr>
            <w:tcW w:w="2358" w:type="dxa"/>
            <w:shd w:val="clear" w:color="auto" w:fill="auto"/>
          </w:tcPr>
          <w:p w14:paraId="168F4E3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13.3</w:t>
            </w:r>
          </w:p>
        </w:tc>
      </w:tr>
      <w:tr w:rsidR="008157BA" w:rsidRPr="008157BA" w14:paraId="2C06E03A" w14:textId="77777777" w:rsidTr="008157BA">
        <w:trPr>
          <w:gridAfter w:val="1"/>
          <w:wAfter w:w="7" w:type="dxa"/>
          <w:jc w:val="center"/>
        </w:trPr>
        <w:tc>
          <w:tcPr>
            <w:tcW w:w="3780" w:type="dxa"/>
            <w:shd w:val="clear" w:color="auto" w:fill="auto"/>
          </w:tcPr>
          <w:p w14:paraId="34EFE29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No</w:t>
            </w:r>
          </w:p>
        </w:tc>
        <w:tc>
          <w:tcPr>
            <w:tcW w:w="2610" w:type="dxa"/>
            <w:shd w:val="clear" w:color="auto" w:fill="auto"/>
          </w:tcPr>
          <w:p w14:paraId="71D3A3C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79.5</w:t>
            </w:r>
          </w:p>
        </w:tc>
        <w:tc>
          <w:tcPr>
            <w:tcW w:w="2358" w:type="dxa"/>
            <w:shd w:val="clear" w:color="auto" w:fill="auto"/>
          </w:tcPr>
          <w:p w14:paraId="5F3FC21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86.7</w:t>
            </w:r>
          </w:p>
        </w:tc>
      </w:tr>
      <w:tr w:rsidR="008157BA" w:rsidRPr="008157BA" w14:paraId="67E7D46A" w14:textId="77777777" w:rsidTr="008157BA">
        <w:trPr>
          <w:gridAfter w:val="1"/>
          <w:wAfter w:w="7" w:type="dxa"/>
          <w:jc w:val="center"/>
        </w:trPr>
        <w:tc>
          <w:tcPr>
            <w:tcW w:w="3780" w:type="dxa"/>
            <w:shd w:val="clear" w:color="auto" w:fill="auto"/>
          </w:tcPr>
          <w:p w14:paraId="1ED4D70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State standardized mathematics test</w:t>
            </w:r>
          </w:p>
        </w:tc>
        <w:tc>
          <w:tcPr>
            <w:tcW w:w="2610" w:type="dxa"/>
            <w:shd w:val="clear" w:color="auto" w:fill="auto"/>
          </w:tcPr>
          <w:p w14:paraId="664B0096"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2358" w:type="dxa"/>
            <w:shd w:val="clear" w:color="auto" w:fill="auto"/>
          </w:tcPr>
          <w:p w14:paraId="666265CA"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282B58E6" w14:textId="77777777" w:rsidTr="008157BA">
        <w:trPr>
          <w:gridAfter w:val="1"/>
          <w:wAfter w:w="7" w:type="dxa"/>
          <w:jc w:val="center"/>
        </w:trPr>
        <w:tc>
          <w:tcPr>
            <w:tcW w:w="3780" w:type="dxa"/>
            <w:shd w:val="clear" w:color="auto" w:fill="auto"/>
          </w:tcPr>
          <w:p w14:paraId="43CCE52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Passed</w:t>
            </w:r>
          </w:p>
        </w:tc>
        <w:tc>
          <w:tcPr>
            <w:tcW w:w="2610" w:type="dxa"/>
            <w:shd w:val="clear" w:color="auto" w:fill="auto"/>
          </w:tcPr>
          <w:p w14:paraId="267F488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77.3</w:t>
            </w:r>
          </w:p>
        </w:tc>
        <w:tc>
          <w:tcPr>
            <w:tcW w:w="2358" w:type="dxa"/>
            <w:shd w:val="clear" w:color="auto" w:fill="auto"/>
          </w:tcPr>
          <w:p w14:paraId="7C0D601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85.2</w:t>
            </w:r>
          </w:p>
        </w:tc>
      </w:tr>
      <w:tr w:rsidR="008157BA" w:rsidRPr="008157BA" w14:paraId="00F46528" w14:textId="77777777" w:rsidTr="008157BA">
        <w:trPr>
          <w:gridAfter w:val="1"/>
          <w:wAfter w:w="7" w:type="dxa"/>
          <w:jc w:val="center"/>
        </w:trPr>
        <w:tc>
          <w:tcPr>
            <w:tcW w:w="3780" w:type="dxa"/>
            <w:shd w:val="clear" w:color="auto" w:fill="auto"/>
          </w:tcPr>
          <w:p w14:paraId="21FE389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Did not pass</w:t>
            </w:r>
          </w:p>
        </w:tc>
        <w:tc>
          <w:tcPr>
            <w:tcW w:w="2610" w:type="dxa"/>
            <w:shd w:val="clear" w:color="auto" w:fill="auto"/>
          </w:tcPr>
          <w:p w14:paraId="30CE965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22.7</w:t>
            </w:r>
          </w:p>
        </w:tc>
        <w:tc>
          <w:tcPr>
            <w:tcW w:w="2358" w:type="dxa"/>
            <w:shd w:val="clear" w:color="auto" w:fill="auto"/>
          </w:tcPr>
          <w:p w14:paraId="006A16A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14.8</w:t>
            </w:r>
          </w:p>
        </w:tc>
      </w:tr>
      <w:tr w:rsidR="008157BA" w:rsidRPr="008157BA" w14:paraId="6A0284C5" w14:textId="77777777" w:rsidTr="008157BA">
        <w:trPr>
          <w:gridAfter w:val="1"/>
          <w:wAfter w:w="7" w:type="dxa"/>
          <w:jc w:val="center"/>
        </w:trPr>
        <w:tc>
          <w:tcPr>
            <w:tcW w:w="3780" w:type="dxa"/>
            <w:tcBorders>
              <w:bottom w:val="single" w:sz="4" w:space="0" w:color="auto"/>
            </w:tcBorders>
            <w:shd w:val="clear" w:color="auto" w:fill="auto"/>
          </w:tcPr>
          <w:p w14:paraId="3AD96A80"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Units in mathematics</w:t>
            </w:r>
          </w:p>
        </w:tc>
        <w:tc>
          <w:tcPr>
            <w:tcW w:w="2610" w:type="dxa"/>
            <w:tcBorders>
              <w:bottom w:val="single" w:sz="4" w:space="0" w:color="auto"/>
            </w:tcBorders>
            <w:shd w:val="clear" w:color="auto" w:fill="auto"/>
          </w:tcPr>
          <w:p w14:paraId="41D793F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3.31 (mean)</w:t>
            </w:r>
          </w:p>
        </w:tc>
        <w:tc>
          <w:tcPr>
            <w:tcW w:w="2358" w:type="dxa"/>
            <w:tcBorders>
              <w:bottom w:val="single" w:sz="4" w:space="0" w:color="auto"/>
            </w:tcBorders>
            <w:shd w:val="clear" w:color="auto" w:fill="auto"/>
          </w:tcPr>
          <w:p w14:paraId="065445B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3.48 (mean)</w:t>
            </w:r>
          </w:p>
        </w:tc>
      </w:tr>
    </w:tbl>
    <w:p w14:paraId="7DAC61DD" w14:textId="77777777" w:rsidR="008157BA" w:rsidRPr="008157BA" w:rsidRDefault="008157BA" w:rsidP="008157BA">
      <w:pPr>
        <w:widowControl w:val="0"/>
        <w:spacing w:line="360" w:lineRule="auto"/>
        <w:rPr>
          <w:rFonts w:eastAsia="Times New Roman" w:cs="Times New Roman"/>
          <w:szCs w:val="20"/>
        </w:rPr>
      </w:pPr>
    </w:p>
    <w:p w14:paraId="5933557E" w14:textId="77777777" w:rsidR="008157BA" w:rsidRPr="008157BA" w:rsidRDefault="008157BA" w:rsidP="008157BA">
      <w:pPr>
        <w:widowControl w:val="0"/>
        <w:spacing w:line="360" w:lineRule="auto"/>
        <w:rPr>
          <w:rFonts w:eastAsia="Gungsuh" w:cs="Times New Roman"/>
          <w:szCs w:val="20"/>
        </w:rPr>
      </w:pPr>
      <w:r w:rsidRPr="008157BA">
        <w:rPr>
          <w:rFonts w:eastAsia="Times New Roman" w:cs="Times New Roman"/>
          <w:szCs w:val="20"/>
        </w:rPr>
        <w:lastRenderedPageBreak/>
        <w:t xml:space="preserve">Further, descriptive statistics were computed to determine </w:t>
      </w:r>
      <w:proofErr w:type="gramStart"/>
      <w:r w:rsidRPr="008157BA">
        <w:rPr>
          <w:rFonts w:eastAsia="Times New Roman" w:cs="Times New Roman"/>
          <w:szCs w:val="20"/>
        </w:rPr>
        <w:t>whether or not</w:t>
      </w:r>
      <w:proofErr w:type="gramEnd"/>
      <w:r w:rsidRPr="008157BA">
        <w:rPr>
          <w:rFonts w:eastAsia="Times New Roman" w:cs="Times New Roman"/>
          <w:szCs w:val="20"/>
        </w:rPr>
        <w:t xml:space="preserve"> there was a significant difference in the cumulative GPA of </w:t>
      </w:r>
      <w:proofErr w:type="spellStart"/>
      <w:r w:rsidRPr="008157BA">
        <w:rPr>
          <w:rFonts w:eastAsia="Times New Roman" w:cs="Times New Roman"/>
          <w:szCs w:val="20"/>
        </w:rPr>
        <w:t>Latinx</w:t>
      </w:r>
      <w:proofErr w:type="spellEnd"/>
      <w:r w:rsidRPr="008157BA">
        <w:rPr>
          <w:rFonts w:eastAsia="Times New Roman" w:cs="Times New Roman"/>
          <w:szCs w:val="20"/>
        </w:rPr>
        <w:t xml:space="preserve"> students who experienced higher and lower levels of cultural discontinuity between home and school. Students who experienced higher levels of cultural discontinuity had lower GPAs than students who experienced lower levels of cultural discontinuity (2.64 GPA vs. 3.01 GPA). An independent samples t-test was conducted to compare the mean GPA of students with higher levels of cultural discontinuity to the mean GPA of students with lower levels of cultural discontinuity and a significant difference was found, t(73) = 2.47, </w:t>
      </w:r>
      <w:r w:rsidRPr="008157BA">
        <w:rPr>
          <w:rFonts w:eastAsia="Times New Roman" w:cs="Times New Roman"/>
          <w:i/>
          <w:szCs w:val="20"/>
        </w:rPr>
        <w:t>p</w:t>
      </w:r>
      <w:r w:rsidRPr="008157BA">
        <w:rPr>
          <w:rFonts w:eastAsia="Times New Roman" w:cs="Times New Roman"/>
          <w:szCs w:val="20"/>
        </w:rPr>
        <w:t xml:space="preserve"> &lt; .05. The mean of students with higher cultural discontinuity (M = 2.64, SD = 0.613) was significantly different from the mean of students with lower cultural discontinuity (M = 3.01, SD = 0.695). </w:t>
      </w:r>
      <w:r w:rsidRPr="008157BA">
        <w:rPr>
          <w:rFonts w:eastAsia="Gungsuh" w:cs="Times New Roman"/>
          <w:szCs w:val="20"/>
        </w:rPr>
        <w:t xml:space="preserve">The mean, standard deviation, and t-value for GPA </w:t>
      </w:r>
      <w:proofErr w:type="gramStart"/>
      <w:r w:rsidRPr="008157BA">
        <w:rPr>
          <w:rFonts w:eastAsia="Gungsuh" w:cs="Times New Roman"/>
          <w:szCs w:val="20"/>
        </w:rPr>
        <w:t>are summarized</w:t>
      </w:r>
      <w:proofErr w:type="gramEnd"/>
      <w:r w:rsidRPr="008157BA">
        <w:rPr>
          <w:rFonts w:eastAsia="Gungsuh" w:cs="Times New Roman"/>
          <w:szCs w:val="20"/>
        </w:rPr>
        <w:t xml:space="preserve"> in Table 3. </w:t>
      </w:r>
    </w:p>
    <w:p w14:paraId="2163A681" w14:textId="77777777" w:rsidR="008157BA" w:rsidRPr="008157BA" w:rsidRDefault="008157BA" w:rsidP="008157BA">
      <w:pPr>
        <w:widowControl w:val="0"/>
        <w:spacing w:line="360" w:lineRule="auto"/>
        <w:rPr>
          <w:rFonts w:eastAsia="Gungsuh" w:cs="Times New Roman"/>
          <w:szCs w:val="20"/>
        </w:rPr>
      </w:pPr>
    </w:p>
    <w:tbl>
      <w:tblPr>
        <w:tblW w:w="0" w:type="auto"/>
        <w:jc w:val="center"/>
        <w:tblLook w:val="04A0" w:firstRow="1" w:lastRow="0" w:firstColumn="1" w:lastColumn="0" w:noHBand="0" w:noVBand="1"/>
      </w:tblPr>
      <w:tblGrid>
        <w:gridCol w:w="2935"/>
        <w:gridCol w:w="1219"/>
        <w:gridCol w:w="1218"/>
        <w:gridCol w:w="1223"/>
        <w:gridCol w:w="1214"/>
        <w:gridCol w:w="1216"/>
      </w:tblGrid>
      <w:tr w:rsidR="008157BA" w:rsidRPr="008157BA" w14:paraId="5E1C06B6" w14:textId="77777777" w:rsidTr="008157BA">
        <w:trPr>
          <w:jc w:val="center"/>
        </w:trPr>
        <w:tc>
          <w:tcPr>
            <w:tcW w:w="9025" w:type="dxa"/>
            <w:gridSpan w:val="6"/>
            <w:shd w:val="clear" w:color="auto" w:fill="auto"/>
          </w:tcPr>
          <w:p w14:paraId="06F773A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Table 3. Mean, Standard Deviation, and t-Value for Academic Experiences</w:t>
            </w:r>
          </w:p>
        </w:tc>
      </w:tr>
      <w:tr w:rsidR="008157BA" w:rsidRPr="008157BA" w14:paraId="169A3DFC" w14:textId="77777777" w:rsidTr="008157BA">
        <w:trPr>
          <w:jc w:val="center"/>
        </w:trPr>
        <w:tc>
          <w:tcPr>
            <w:tcW w:w="2935" w:type="dxa"/>
            <w:tcBorders>
              <w:top w:val="single" w:sz="4" w:space="0" w:color="auto"/>
            </w:tcBorders>
            <w:shd w:val="clear" w:color="auto" w:fill="auto"/>
          </w:tcPr>
          <w:p w14:paraId="1207BE1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c>
          <w:tcPr>
            <w:tcW w:w="2437" w:type="dxa"/>
            <w:gridSpan w:val="2"/>
            <w:tcBorders>
              <w:top w:val="single" w:sz="4" w:space="0" w:color="auto"/>
              <w:bottom w:val="single" w:sz="4" w:space="0" w:color="auto"/>
            </w:tcBorders>
            <w:shd w:val="clear" w:color="auto" w:fill="auto"/>
          </w:tcPr>
          <w:p w14:paraId="4E13D7E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 xml:space="preserve">Students with higher levels of cultural discontinuity </w:t>
            </w:r>
          </w:p>
          <w:p w14:paraId="6A4EECE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w:t>
            </w:r>
            <w:r w:rsidRPr="008157BA">
              <w:rPr>
                <w:rFonts w:ascii="Times New Roman" w:hAnsi="Times New Roman"/>
                <w:i/>
                <w:sz w:val="20"/>
                <w:szCs w:val="20"/>
              </w:rPr>
              <w:t>n</w:t>
            </w:r>
            <w:r w:rsidRPr="008157BA">
              <w:rPr>
                <w:rFonts w:ascii="Times New Roman" w:hAnsi="Times New Roman"/>
                <w:sz w:val="20"/>
                <w:szCs w:val="20"/>
              </w:rPr>
              <w:t xml:space="preserve"> = 47)</w:t>
            </w:r>
          </w:p>
        </w:tc>
        <w:tc>
          <w:tcPr>
            <w:tcW w:w="2437" w:type="dxa"/>
            <w:gridSpan w:val="2"/>
            <w:tcBorders>
              <w:top w:val="single" w:sz="4" w:space="0" w:color="auto"/>
              <w:bottom w:val="single" w:sz="4" w:space="0" w:color="auto"/>
            </w:tcBorders>
            <w:shd w:val="clear" w:color="auto" w:fill="auto"/>
          </w:tcPr>
          <w:p w14:paraId="70E2F29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 xml:space="preserve">Students with lower levels of cultural discontinuity </w:t>
            </w:r>
          </w:p>
          <w:p w14:paraId="4D809BA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w:t>
            </w:r>
            <w:r w:rsidRPr="008157BA">
              <w:rPr>
                <w:rFonts w:ascii="Times New Roman" w:hAnsi="Times New Roman"/>
                <w:i/>
                <w:sz w:val="20"/>
                <w:szCs w:val="20"/>
              </w:rPr>
              <w:t>n</w:t>
            </w:r>
            <w:r w:rsidRPr="008157BA">
              <w:rPr>
                <w:rFonts w:ascii="Times New Roman" w:hAnsi="Times New Roman"/>
                <w:sz w:val="20"/>
                <w:szCs w:val="20"/>
              </w:rPr>
              <w:t xml:space="preserve"> = 31)</w:t>
            </w:r>
          </w:p>
        </w:tc>
        <w:tc>
          <w:tcPr>
            <w:tcW w:w="1216" w:type="dxa"/>
            <w:tcBorders>
              <w:top w:val="single" w:sz="4" w:space="0" w:color="auto"/>
            </w:tcBorders>
            <w:shd w:val="clear" w:color="auto" w:fill="auto"/>
          </w:tcPr>
          <w:p w14:paraId="59E08D5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r>
      <w:tr w:rsidR="008157BA" w:rsidRPr="008157BA" w14:paraId="613103D8" w14:textId="77777777" w:rsidTr="008157BA">
        <w:trPr>
          <w:jc w:val="center"/>
        </w:trPr>
        <w:tc>
          <w:tcPr>
            <w:tcW w:w="2935" w:type="dxa"/>
            <w:tcBorders>
              <w:top w:val="single" w:sz="4" w:space="0" w:color="auto"/>
              <w:bottom w:val="single" w:sz="4" w:space="0" w:color="auto"/>
            </w:tcBorders>
            <w:shd w:val="clear" w:color="auto" w:fill="auto"/>
          </w:tcPr>
          <w:p w14:paraId="3648B30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p>
        </w:tc>
        <w:tc>
          <w:tcPr>
            <w:tcW w:w="1219" w:type="dxa"/>
            <w:tcBorders>
              <w:top w:val="single" w:sz="4" w:space="0" w:color="auto"/>
              <w:bottom w:val="single" w:sz="4" w:space="0" w:color="auto"/>
            </w:tcBorders>
            <w:shd w:val="clear" w:color="auto" w:fill="auto"/>
          </w:tcPr>
          <w:p w14:paraId="1E09F701"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M</w:t>
            </w:r>
          </w:p>
        </w:tc>
        <w:tc>
          <w:tcPr>
            <w:tcW w:w="1218" w:type="dxa"/>
            <w:tcBorders>
              <w:top w:val="single" w:sz="4" w:space="0" w:color="auto"/>
              <w:bottom w:val="single" w:sz="4" w:space="0" w:color="auto"/>
            </w:tcBorders>
            <w:shd w:val="clear" w:color="auto" w:fill="auto"/>
          </w:tcPr>
          <w:p w14:paraId="7F55AFCF"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SD</w:t>
            </w:r>
          </w:p>
        </w:tc>
        <w:tc>
          <w:tcPr>
            <w:tcW w:w="1223" w:type="dxa"/>
            <w:tcBorders>
              <w:top w:val="single" w:sz="4" w:space="0" w:color="auto"/>
              <w:bottom w:val="single" w:sz="4" w:space="0" w:color="auto"/>
            </w:tcBorders>
            <w:shd w:val="clear" w:color="auto" w:fill="auto"/>
          </w:tcPr>
          <w:p w14:paraId="15469F39"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M</w:t>
            </w:r>
          </w:p>
        </w:tc>
        <w:tc>
          <w:tcPr>
            <w:tcW w:w="1214" w:type="dxa"/>
            <w:tcBorders>
              <w:top w:val="single" w:sz="4" w:space="0" w:color="auto"/>
              <w:bottom w:val="single" w:sz="4" w:space="0" w:color="auto"/>
            </w:tcBorders>
            <w:shd w:val="clear" w:color="auto" w:fill="auto"/>
          </w:tcPr>
          <w:p w14:paraId="51570D78"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SD</w:t>
            </w:r>
          </w:p>
        </w:tc>
        <w:tc>
          <w:tcPr>
            <w:tcW w:w="1216" w:type="dxa"/>
            <w:tcBorders>
              <w:top w:val="single" w:sz="4" w:space="0" w:color="auto"/>
              <w:bottom w:val="single" w:sz="4" w:space="0" w:color="auto"/>
            </w:tcBorders>
            <w:shd w:val="clear" w:color="auto" w:fill="auto"/>
          </w:tcPr>
          <w:p w14:paraId="13ACA48A"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t</w:t>
            </w:r>
          </w:p>
        </w:tc>
      </w:tr>
      <w:tr w:rsidR="008157BA" w:rsidRPr="008157BA" w14:paraId="74FA6EFF" w14:textId="77777777" w:rsidTr="008157BA">
        <w:trPr>
          <w:jc w:val="center"/>
        </w:trPr>
        <w:tc>
          <w:tcPr>
            <w:tcW w:w="2935" w:type="dxa"/>
            <w:tcBorders>
              <w:top w:val="single" w:sz="4" w:space="0" w:color="auto"/>
            </w:tcBorders>
            <w:shd w:val="clear" w:color="auto" w:fill="auto"/>
          </w:tcPr>
          <w:p w14:paraId="306D5AC6"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Academic experiences</w:t>
            </w:r>
          </w:p>
        </w:tc>
        <w:tc>
          <w:tcPr>
            <w:tcW w:w="1219" w:type="dxa"/>
            <w:tcBorders>
              <w:top w:val="single" w:sz="4" w:space="0" w:color="auto"/>
            </w:tcBorders>
            <w:shd w:val="clear" w:color="auto" w:fill="auto"/>
          </w:tcPr>
          <w:p w14:paraId="6E40279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218" w:type="dxa"/>
            <w:tcBorders>
              <w:top w:val="single" w:sz="4" w:space="0" w:color="auto"/>
            </w:tcBorders>
            <w:shd w:val="clear" w:color="auto" w:fill="auto"/>
          </w:tcPr>
          <w:p w14:paraId="2E3B6E2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223" w:type="dxa"/>
            <w:tcBorders>
              <w:top w:val="single" w:sz="4" w:space="0" w:color="auto"/>
            </w:tcBorders>
            <w:shd w:val="clear" w:color="auto" w:fill="auto"/>
          </w:tcPr>
          <w:p w14:paraId="38FE6F5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214" w:type="dxa"/>
            <w:tcBorders>
              <w:top w:val="single" w:sz="4" w:space="0" w:color="auto"/>
            </w:tcBorders>
            <w:shd w:val="clear" w:color="auto" w:fill="auto"/>
          </w:tcPr>
          <w:p w14:paraId="14014E65"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216" w:type="dxa"/>
            <w:tcBorders>
              <w:top w:val="single" w:sz="4" w:space="0" w:color="auto"/>
            </w:tcBorders>
            <w:shd w:val="clear" w:color="auto" w:fill="auto"/>
          </w:tcPr>
          <w:p w14:paraId="1129359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4C4630E6" w14:textId="77777777" w:rsidTr="008157BA">
        <w:trPr>
          <w:jc w:val="center"/>
        </w:trPr>
        <w:tc>
          <w:tcPr>
            <w:tcW w:w="2935" w:type="dxa"/>
            <w:shd w:val="clear" w:color="auto" w:fill="auto"/>
          </w:tcPr>
          <w:p w14:paraId="468117D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Units in mathematics</w:t>
            </w:r>
          </w:p>
        </w:tc>
        <w:tc>
          <w:tcPr>
            <w:tcW w:w="1219" w:type="dxa"/>
            <w:shd w:val="clear" w:color="auto" w:fill="auto"/>
          </w:tcPr>
          <w:p w14:paraId="617D2A1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3.31</w:t>
            </w:r>
          </w:p>
        </w:tc>
        <w:tc>
          <w:tcPr>
            <w:tcW w:w="1218" w:type="dxa"/>
            <w:shd w:val="clear" w:color="auto" w:fill="auto"/>
          </w:tcPr>
          <w:p w14:paraId="19C38B2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1.01</w:t>
            </w:r>
          </w:p>
        </w:tc>
        <w:tc>
          <w:tcPr>
            <w:tcW w:w="1223" w:type="dxa"/>
            <w:shd w:val="clear" w:color="auto" w:fill="auto"/>
          </w:tcPr>
          <w:p w14:paraId="7DBEC4E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3.48</w:t>
            </w:r>
          </w:p>
        </w:tc>
        <w:tc>
          <w:tcPr>
            <w:tcW w:w="1214" w:type="dxa"/>
            <w:shd w:val="clear" w:color="auto" w:fill="auto"/>
          </w:tcPr>
          <w:p w14:paraId="1A952C1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.74</w:t>
            </w:r>
          </w:p>
        </w:tc>
        <w:tc>
          <w:tcPr>
            <w:tcW w:w="1216" w:type="dxa"/>
            <w:shd w:val="clear" w:color="auto" w:fill="auto"/>
          </w:tcPr>
          <w:p w14:paraId="67CA059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.803</w:t>
            </w:r>
          </w:p>
        </w:tc>
      </w:tr>
      <w:tr w:rsidR="008157BA" w:rsidRPr="008157BA" w14:paraId="454D7CA7" w14:textId="77777777" w:rsidTr="008157BA">
        <w:trPr>
          <w:jc w:val="center"/>
        </w:trPr>
        <w:tc>
          <w:tcPr>
            <w:tcW w:w="2935" w:type="dxa"/>
            <w:tcBorders>
              <w:bottom w:val="single" w:sz="4" w:space="0" w:color="auto"/>
            </w:tcBorders>
            <w:shd w:val="clear" w:color="auto" w:fill="auto"/>
          </w:tcPr>
          <w:p w14:paraId="3BCED1BB"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GPA</w:t>
            </w:r>
          </w:p>
        </w:tc>
        <w:tc>
          <w:tcPr>
            <w:tcW w:w="1219" w:type="dxa"/>
            <w:tcBorders>
              <w:bottom w:val="single" w:sz="4" w:space="0" w:color="auto"/>
            </w:tcBorders>
            <w:shd w:val="clear" w:color="auto" w:fill="auto"/>
          </w:tcPr>
          <w:p w14:paraId="0850B52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2.64</w:t>
            </w:r>
          </w:p>
        </w:tc>
        <w:tc>
          <w:tcPr>
            <w:tcW w:w="1218" w:type="dxa"/>
            <w:tcBorders>
              <w:bottom w:val="single" w:sz="4" w:space="0" w:color="auto"/>
            </w:tcBorders>
            <w:shd w:val="clear" w:color="auto" w:fill="auto"/>
          </w:tcPr>
          <w:p w14:paraId="1B43225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.61</w:t>
            </w:r>
          </w:p>
        </w:tc>
        <w:tc>
          <w:tcPr>
            <w:tcW w:w="1223" w:type="dxa"/>
            <w:tcBorders>
              <w:bottom w:val="single" w:sz="4" w:space="0" w:color="auto"/>
            </w:tcBorders>
            <w:shd w:val="clear" w:color="auto" w:fill="auto"/>
          </w:tcPr>
          <w:p w14:paraId="798936C6"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3.01</w:t>
            </w:r>
          </w:p>
        </w:tc>
        <w:tc>
          <w:tcPr>
            <w:tcW w:w="1214" w:type="dxa"/>
            <w:tcBorders>
              <w:bottom w:val="single" w:sz="4" w:space="0" w:color="auto"/>
            </w:tcBorders>
            <w:shd w:val="clear" w:color="auto" w:fill="auto"/>
          </w:tcPr>
          <w:p w14:paraId="20073B9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.70</w:t>
            </w:r>
          </w:p>
        </w:tc>
        <w:tc>
          <w:tcPr>
            <w:tcW w:w="1216" w:type="dxa"/>
            <w:tcBorders>
              <w:bottom w:val="single" w:sz="4" w:space="0" w:color="auto"/>
            </w:tcBorders>
            <w:shd w:val="clear" w:color="auto" w:fill="auto"/>
          </w:tcPr>
          <w:p w14:paraId="50862530"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2.464</w:t>
            </w:r>
          </w:p>
        </w:tc>
      </w:tr>
      <w:tr w:rsidR="008157BA" w:rsidRPr="008157BA" w14:paraId="37C49D13" w14:textId="77777777" w:rsidTr="008157BA">
        <w:trPr>
          <w:jc w:val="center"/>
        </w:trPr>
        <w:tc>
          <w:tcPr>
            <w:tcW w:w="9025" w:type="dxa"/>
            <w:gridSpan w:val="6"/>
            <w:tcBorders>
              <w:top w:val="single" w:sz="4" w:space="0" w:color="auto"/>
            </w:tcBorders>
            <w:shd w:val="clear" w:color="auto" w:fill="auto"/>
          </w:tcPr>
          <w:p w14:paraId="48B3E0D1"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i/>
                <w:sz w:val="20"/>
                <w:szCs w:val="20"/>
              </w:rPr>
              <w:t>Note</w:t>
            </w:r>
            <w:r w:rsidRPr="008157BA">
              <w:rPr>
                <w:rFonts w:ascii="Times New Roman" w:hAnsi="Times New Roman"/>
                <w:sz w:val="20"/>
                <w:szCs w:val="20"/>
              </w:rPr>
              <w:t>. GPA = grade point average</w:t>
            </w:r>
          </w:p>
        </w:tc>
      </w:tr>
    </w:tbl>
    <w:p w14:paraId="571B8A82" w14:textId="034F6D78" w:rsidR="008157BA" w:rsidRPr="008157BA" w:rsidRDefault="008157BA" w:rsidP="008157BA">
      <w:pPr>
        <w:widowControl w:val="0"/>
        <w:spacing w:line="360" w:lineRule="auto"/>
        <w:rPr>
          <w:rFonts w:eastAsia="Times New Roman" w:cs="Times New Roman"/>
          <w:b/>
          <w:szCs w:val="20"/>
        </w:rPr>
      </w:pPr>
    </w:p>
    <w:p w14:paraId="569D7544" w14:textId="77777777" w:rsidR="008157BA" w:rsidRPr="008157BA" w:rsidRDefault="008157BA" w:rsidP="008157BA">
      <w:pPr>
        <w:widowControl w:val="0"/>
        <w:spacing w:line="360" w:lineRule="auto"/>
        <w:rPr>
          <w:rFonts w:eastAsia="Times New Roman" w:cs="Times New Roman"/>
          <w:b/>
          <w:szCs w:val="20"/>
        </w:rPr>
      </w:pPr>
      <w:r w:rsidRPr="008157BA">
        <w:rPr>
          <w:rFonts w:eastAsia="Times New Roman" w:cs="Times New Roman"/>
          <w:b/>
          <w:szCs w:val="20"/>
        </w:rPr>
        <w:t xml:space="preserve">Multiple Regression Findings </w:t>
      </w:r>
    </w:p>
    <w:p w14:paraId="71A89BF3" w14:textId="77777777" w:rsidR="008157BA" w:rsidRPr="008157BA" w:rsidRDefault="008157BA" w:rsidP="008157BA">
      <w:pPr>
        <w:widowControl w:val="0"/>
        <w:spacing w:line="360" w:lineRule="auto"/>
        <w:rPr>
          <w:rFonts w:eastAsia="Times New Roman" w:cs="Times New Roman"/>
          <w:szCs w:val="20"/>
        </w:rPr>
      </w:pPr>
    </w:p>
    <w:p w14:paraId="6C73A8D8" w14:textId="7FE8E638" w:rsidR="008157BA" w:rsidRPr="008157BA" w:rsidRDefault="008157BA" w:rsidP="008157BA">
      <w:pPr>
        <w:widowControl w:val="0"/>
        <w:spacing w:line="360" w:lineRule="auto"/>
        <w:rPr>
          <w:rFonts w:eastAsia="Cardo" w:cs="Times New Roman"/>
          <w:szCs w:val="20"/>
        </w:rPr>
      </w:pPr>
      <w:r w:rsidRPr="008157BA">
        <w:rPr>
          <w:rFonts w:eastAsia="Times New Roman" w:cs="Times New Roman"/>
          <w:szCs w:val="20"/>
        </w:rPr>
        <w:t xml:space="preserve">Hierarchical multiple regression </w:t>
      </w:r>
      <w:proofErr w:type="gramStart"/>
      <w:r w:rsidRPr="008157BA">
        <w:rPr>
          <w:rFonts w:eastAsia="Times New Roman" w:cs="Times New Roman"/>
          <w:szCs w:val="20"/>
        </w:rPr>
        <w:t>was conducted</w:t>
      </w:r>
      <w:proofErr w:type="gramEnd"/>
      <w:r w:rsidRPr="008157BA">
        <w:rPr>
          <w:rFonts w:eastAsia="Times New Roman" w:cs="Times New Roman"/>
          <w:szCs w:val="20"/>
        </w:rPr>
        <w:t xml:space="preserve"> to determine which independent variables (socio-demographic variables, academic experiences, and cultural discontinuity) were predictors of students’ GPA. Tolerance </w:t>
      </w:r>
      <w:proofErr w:type="gramStart"/>
      <w:r w:rsidRPr="008157BA">
        <w:rPr>
          <w:rFonts w:eastAsia="Times New Roman" w:cs="Times New Roman"/>
          <w:szCs w:val="20"/>
        </w:rPr>
        <w:t>was examined</w:t>
      </w:r>
      <w:proofErr w:type="gramEnd"/>
      <w:r w:rsidRPr="008157BA">
        <w:rPr>
          <w:rFonts w:eastAsia="Times New Roman" w:cs="Times New Roman"/>
          <w:szCs w:val="20"/>
        </w:rPr>
        <w:t xml:space="preserve"> prior to the data analyses and was found to be adequate among the independent variables because coefficients for all independent variables included and excluded were above 0.1. Regression results indicated that the blocks socio-demographic variables, academic experiences, and cultural discontinuity significantly predicted GPA, </w:t>
      </w:r>
      <w:proofErr w:type="gramStart"/>
      <w:r w:rsidRPr="008157BA">
        <w:rPr>
          <w:rFonts w:eastAsia="Times New Roman" w:cs="Times New Roman"/>
          <w:szCs w:val="20"/>
        </w:rPr>
        <w:t>R</w:t>
      </w:r>
      <w:r w:rsidRPr="008157BA">
        <w:rPr>
          <w:rFonts w:eastAsia="Times New Roman" w:cs="Times New Roman"/>
          <w:szCs w:val="20"/>
          <w:vertAlign w:val="superscript"/>
        </w:rPr>
        <w:t xml:space="preserve">2  </w:t>
      </w:r>
      <w:r w:rsidRPr="008157BA">
        <w:rPr>
          <w:rFonts w:eastAsia="Times New Roman" w:cs="Times New Roman"/>
          <w:szCs w:val="20"/>
        </w:rPr>
        <w:t>=</w:t>
      </w:r>
      <w:proofErr w:type="gramEnd"/>
      <w:r w:rsidRPr="008157BA">
        <w:rPr>
          <w:rFonts w:eastAsia="Times New Roman" w:cs="Times New Roman"/>
          <w:szCs w:val="20"/>
        </w:rPr>
        <w:t xml:space="preserve"> .322, R</w:t>
      </w:r>
      <w:r w:rsidRPr="008157BA">
        <w:rPr>
          <w:rFonts w:eastAsia="Times New Roman" w:cs="Times New Roman"/>
          <w:szCs w:val="20"/>
          <w:vertAlign w:val="superscript"/>
        </w:rPr>
        <w:t>2</w:t>
      </w:r>
      <w:r w:rsidRPr="008157BA">
        <w:rPr>
          <w:rFonts w:eastAsia="Times New Roman" w:cs="Times New Roman"/>
          <w:szCs w:val="20"/>
        </w:rPr>
        <w:t>adj = .306, F(7, 284) = 19.290, p &lt; .001. This model accounted for 32.2% of the variance in students’ GPA, which represents a large effect size (Cohen, 1988). Significant predictors of GPA included gender (</w:t>
      </w:r>
      <w:r w:rsidRPr="008157BA">
        <w:rPr>
          <w:rFonts w:eastAsia="Times New Roman" w:cs="Times New Roman"/>
          <w:i/>
          <w:szCs w:val="20"/>
        </w:rPr>
        <w:t>p</w:t>
      </w:r>
      <w:r w:rsidRPr="008157BA">
        <w:rPr>
          <w:rFonts w:eastAsia="Times New Roman" w:cs="Times New Roman"/>
          <w:szCs w:val="20"/>
        </w:rPr>
        <w:t xml:space="preserve"> &lt; .001), language (</w:t>
      </w:r>
      <w:r w:rsidRPr="008157BA">
        <w:rPr>
          <w:rFonts w:eastAsia="Times New Roman" w:cs="Times New Roman"/>
          <w:i/>
          <w:szCs w:val="20"/>
        </w:rPr>
        <w:t>p</w:t>
      </w:r>
      <w:r w:rsidRPr="008157BA">
        <w:rPr>
          <w:rFonts w:eastAsia="Times New Roman" w:cs="Times New Roman"/>
          <w:szCs w:val="20"/>
        </w:rPr>
        <w:t xml:space="preserve"> &lt; .05), student educational aspirations (</w:t>
      </w:r>
      <w:r w:rsidRPr="008157BA">
        <w:rPr>
          <w:rFonts w:eastAsia="Times New Roman" w:cs="Times New Roman"/>
          <w:i/>
          <w:szCs w:val="20"/>
        </w:rPr>
        <w:t>p</w:t>
      </w:r>
      <w:r w:rsidRPr="008157BA">
        <w:rPr>
          <w:rFonts w:eastAsia="Times New Roman" w:cs="Times New Roman"/>
          <w:szCs w:val="20"/>
        </w:rPr>
        <w:t xml:space="preserve"> &lt; .05), AP enrollment</w:t>
      </w:r>
      <w:r w:rsidRPr="008157BA">
        <w:rPr>
          <w:rFonts w:eastAsia="Cardo" w:cs="Times New Roman"/>
          <w:szCs w:val="20"/>
        </w:rPr>
        <w:t xml:space="preserve"> (</w:t>
      </w:r>
      <w:r w:rsidRPr="008157BA">
        <w:rPr>
          <w:rFonts w:eastAsia="Cardo" w:cs="Times New Roman"/>
          <w:i/>
          <w:szCs w:val="20"/>
        </w:rPr>
        <w:t>p</w:t>
      </w:r>
      <w:r w:rsidRPr="008157BA">
        <w:rPr>
          <w:rFonts w:eastAsia="Cardo" w:cs="Times New Roman"/>
          <w:szCs w:val="20"/>
        </w:rPr>
        <w:t xml:space="preserve"> &lt; .001), the number of math units in which a student had enrolled </w:t>
      </w:r>
      <w:r w:rsidRPr="008157BA">
        <w:rPr>
          <w:rFonts w:eastAsia="Times New Roman" w:cs="Times New Roman"/>
          <w:szCs w:val="20"/>
        </w:rPr>
        <w:t>(</w:t>
      </w:r>
      <w:r w:rsidRPr="008157BA">
        <w:rPr>
          <w:rFonts w:eastAsia="Times New Roman" w:cs="Times New Roman"/>
          <w:i/>
          <w:szCs w:val="20"/>
        </w:rPr>
        <w:t>p</w:t>
      </w:r>
      <w:r w:rsidRPr="008157BA">
        <w:rPr>
          <w:rFonts w:eastAsia="Times New Roman" w:cs="Times New Roman"/>
          <w:szCs w:val="20"/>
        </w:rPr>
        <w:t xml:space="preserve"> &lt; .05), </w:t>
      </w:r>
      <w:r w:rsidRPr="008157BA">
        <w:rPr>
          <w:rFonts w:eastAsia="Cardo" w:cs="Times New Roman"/>
          <w:szCs w:val="20"/>
        </w:rPr>
        <w:t>and cultural discontinuity (</w:t>
      </w:r>
      <w:r w:rsidRPr="008157BA">
        <w:rPr>
          <w:rFonts w:eastAsia="Cardo" w:cs="Times New Roman"/>
          <w:i/>
          <w:szCs w:val="20"/>
        </w:rPr>
        <w:t>p</w:t>
      </w:r>
      <w:r w:rsidRPr="008157BA">
        <w:rPr>
          <w:rFonts w:eastAsia="Cardo" w:cs="Times New Roman"/>
          <w:szCs w:val="20"/>
        </w:rPr>
        <w:t xml:space="preserve"> &lt; .01). Cultural discontinuity had an inverse relationship with GPA (β = −.130). Table 4 displays the parameter estimates, significance values, and fit statistics for the regression model predicting GPA. </w:t>
      </w:r>
    </w:p>
    <w:p w14:paraId="24D4E775" w14:textId="77777777" w:rsidR="008157BA" w:rsidRPr="008157BA" w:rsidRDefault="008157BA" w:rsidP="008157BA">
      <w:pPr>
        <w:widowControl w:val="0"/>
        <w:spacing w:line="360" w:lineRule="auto"/>
        <w:rPr>
          <w:rFonts w:eastAsia="Cardo" w:cs="Times New Roman"/>
          <w:szCs w:val="20"/>
        </w:rPr>
      </w:pPr>
    </w:p>
    <w:p w14:paraId="2C215224" w14:textId="0B396B92" w:rsidR="008157BA" w:rsidRPr="008157BA" w:rsidRDefault="008157BA" w:rsidP="008157BA">
      <w:pPr>
        <w:widowControl w:val="0"/>
        <w:spacing w:line="360" w:lineRule="auto"/>
        <w:jc w:val="center"/>
        <w:rPr>
          <w:rFonts w:eastAsia="Cardo" w:cs="Times New Roman"/>
          <w:szCs w:val="20"/>
        </w:rPr>
      </w:pPr>
      <w:r w:rsidRPr="008157BA">
        <w:rPr>
          <w:rFonts w:cs="Times New Roman"/>
          <w:szCs w:val="20"/>
        </w:rPr>
        <w:t xml:space="preserve">Table 4. Multiple Regression </w:t>
      </w:r>
      <w:proofErr w:type="gramStart"/>
      <w:r w:rsidRPr="008157BA">
        <w:rPr>
          <w:rFonts w:cs="Times New Roman"/>
          <w:szCs w:val="20"/>
        </w:rPr>
        <w:t>Model Predicting</w:t>
      </w:r>
      <w:proofErr w:type="gramEnd"/>
      <w:r w:rsidRPr="008157BA">
        <w:rPr>
          <w:rFonts w:cs="Times New Roman"/>
          <w:szCs w:val="20"/>
        </w:rPr>
        <w:t xml:space="preserve"> GPA</w:t>
      </w:r>
    </w:p>
    <w:tbl>
      <w:tblPr>
        <w:tblW w:w="0" w:type="auto"/>
        <w:jc w:val="center"/>
        <w:tblLook w:val="04A0" w:firstRow="1" w:lastRow="0" w:firstColumn="1" w:lastColumn="0" w:noHBand="0" w:noVBand="1"/>
      </w:tblPr>
      <w:tblGrid>
        <w:gridCol w:w="5085"/>
        <w:gridCol w:w="1308"/>
        <w:gridCol w:w="1329"/>
        <w:gridCol w:w="1303"/>
      </w:tblGrid>
      <w:tr w:rsidR="008157BA" w:rsidRPr="008157BA" w14:paraId="7CE3A231" w14:textId="77777777" w:rsidTr="008157BA">
        <w:trPr>
          <w:tblHeader/>
          <w:jc w:val="center"/>
        </w:trPr>
        <w:tc>
          <w:tcPr>
            <w:tcW w:w="5085" w:type="dxa"/>
            <w:tcBorders>
              <w:top w:val="single" w:sz="4" w:space="0" w:color="auto"/>
              <w:bottom w:val="single" w:sz="4" w:space="0" w:color="auto"/>
            </w:tcBorders>
            <w:shd w:val="clear" w:color="auto" w:fill="auto"/>
          </w:tcPr>
          <w:p w14:paraId="3DC38D3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Variable</w:t>
            </w:r>
          </w:p>
        </w:tc>
        <w:tc>
          <w:tcPr>
            <w:tcW w:w="1308" w:type="dxa"/>
            <w:tcBorders>
              <w:top w:val="single" w:sz="4" w:space="0" w:color="auto"/>
              <w:bottom w:val="single" w:sz="4" w:space="0" w:color="auto"/>
            </w:tcBorders>
            <w:shd w:val="clear" w:color="auto" w:fill="auto"/>
          </w:tcPr>
          <w:p w14:paraId="120E67A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β</w:t>
            </w:r>
          </w:p>
        </w:tc>
        <w:tc>
          <w:tcPr>
            <w:tcW w:w="1329" w:type="dxa"/>
            <w:tcBorders>
              <w:top w:val="single" w:sz="4" w:space="0" w:color="auto"/>
              <w:bottom w:val="single" w:sz="4" w:space="0" w:color="auto"/>
            </w:tcBorders>
            <w:shd w:val="clear" w:color="auto" w:fill="auto"/>
          </w:tcPr>
          <w:p w14:paraId="4DAA58BD" w14:textId="77777777" w:rsidR="008157BA" w:rsidRPr="008157BA" w:rsidRDefault="008157BA" w:rsidP="00B43A32">
            <w:pPr>
              <w:pStyle w:val="AralkYok"/>
              <w:widowControl w:val="0"/>
              <w:suppressAutoHyphens/>
              <w:spacing w:line="360" w:lineRule="auto"/>
              <w:jc w:val="center"/>
              <w:rPr>
                <w:rFonts w:ascii="Times New Roman" w:hAnsi="Times New Roman"/>
                <w:i/>
                <w:sz w:val="20"/>
                <w:szCs w:val="20"/>
              </w:rPr>
            </w:pPr>
            <w:r w:rsidRPr="008157BA">
              <w:rPr>
                <w:rFonts w:ascii="Times New Roman" w:hAnsi="Times New Roman"/>
                <w:i/>
                <w:sz w:val="20"/>
                <w:szCs w:val="20"/>
              </w:rPr>
              <w:t>t</w:t>
            </w:r>
          </w:p>
        </w:tc>
        <w:tc>
          <w:tcPr>
            <w:tcW w:w="1303" w:type="dxa"/>
            <w:tcBorders>
              <w:top w:val="single" w:sz="4" w:space="0" w:color="auto"/>
              <w:bottom w:val="single" w:sz="4" w:space="0" w:color="auto"/>
            </w:tcBorders>
            <w:shd w:val="clear" w:color="auto" w:fill="auto"/>
          </w:tcPr>
          <w:p w14:paraId="1B1B2EEB"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i/>
                <w:sz w:val="20"/>
                <w:szCs w:val="20"/>
              </w:rPr>
              <w:t>SE</w:t>
            </w:r>
          </w:p>
        </w:tc>
      </w:tr>
      <w:tr w:rsidR="008157BA" w:rsidRPr="008157BA" w14:paraId="29EBADF5" w14:textId="77777777" w:rsidTr="008157BA">
        <w:trPr>
          <w:jc w:val="center"/>
        </w:trPr>
        <w:tc>
          <w:tcPr>
            <w:tcW w:w="5085" w:type="dxa"/>
            <w:tcBorders>
              <w:top w:val="single" w:sz="4" w:space="0" w:color="auto"/>
            </w:tcBorders>
            <w:shd w:val="clear" w:color="auto" w:fill="auto"/>
          </w:tcPr>
          <w:p w14:paraId="43D2342D"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Socio-demographic variables</w:t>
            </w:r>
          </w:p>
        </w:tc>
        <w:tc>
          <w:tcPr>
            <w:tcW w:w="1308" w:type="dxa"/>
            <w:tcBorders>
              <w:top w:val="single" w:sz="4" w:space="0" w:color="auto"/>
            </w:tcBorders>
            <w:shd w:val="clear" w:color="auto" w:fill="auto"/>
          </w:tcPr>
          <w:p w14:paraId="72287E4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29" w:type="dxa"/>
            <w:tcBorders>
              <w:top w:val="single" w:sz="4" w:space="0" w:color="auto"/>
            </w:tcBorders>
            <w:shd w:val="clear" w:color="auto" w:fill="auto"/>
          </w:tcPr>
          <w:p w14:paraId="16818B7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03" w:type="dxa"/>
            <w:tcBorders>
              <w:top w:val="single" w:sz="4" w:space="0" w:color="auto"/>
            </w:tcBorders>
            <w:shd w:val="clear" w:color="auto" w:fill="auto"/>
          </w:tcPr>
          <w:p w14:paraId="02D113A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73D02F82" w14:textId="77777777" w:rsidTr="008157BA">
        <w:trPr>
          <w:jc w:val="center"/>
        </w:trPr>
        <w:tc>
          <w:tcPr>
            <w:tcW w:w="5085" w:type="dxa"/>
            <w:shd w:val="clear" w:color="auto" w:fill="auto"/>
          </w:tcPr>
          <w:p w14:paraId="517D6400"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Gender</w:t>
            </w:r>
          </w:p>
        </w:tc>
        <w:tc>
          <w:tcPr>
            <w:tcW w:w="1308" w:type="dxa"/>
            <w:shd w:val="clear" w:color="auto" w:fill="auto"/>
          </w:tcPr>
          <w:p w14:paraId="5272363B"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.165</w:t>
            </w:r>
          </w:p>
        </w:tc>
        <w:tc>
          <w:tcPr>
            <w:tcW w:w="1329" w:type="dxa"/>
            <w:shd w:val="clear" w:color="auto" w:fill="auto"/>
          </w:tcPr>
          <w:p w14:paraId="0297544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3.303***</w:t>
            </w:r>
          </w:p>
        </w:tc>
        <w:tc>
          <w:tcPr>
            <w:tcW w:w="1303" w:type="dxa"/>
            <w:shd w:val="clear" w:color="auto" w:fill="auto"/>
          </w:tcPr>
          <w:p w14:paraId="02899971"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.071</w:t>
            </w:r>
          </w:p>
        </w:tc>
      </w:tr>
      <w:tr w:rsidR="008157BA" w:rsidRPr="008157BA" w14:paraId="505D142F" w14:textId="77777777" w:rsidTr="008157BA">
        <w:trPr>
          <w:jc w:val="center"/>
        </w:trPr>
        <w:tc>
          <w:tcPr>
            <w:tcW w:w="5085" w:type="dxa"/>
            <w:shd w:val="clear" w:color="auto" w:fill="auto"/>
          </w:tcPr>
          <w:p w14:paraId="14BB8C8E"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English primary language or not</w:t>
            </w:r>
          </w:p>
        </w:tc>
        <w:tc>
          <w:tcPr>
            <w:tcW w:w="1308" w:type="dxa"/>
            <w:shd w:val="clear" w:color="auto" w:fill="auto"/>
          </w:tcPr>
          <w:p w14:paraId="7A0BD90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.117</w:t>
            </w:r>
          </w:p>
        </w:tc>
        <w:tc>
          <w:tcPr>
            <w:tcW w:w="1329" w:type="dxa"/>
            <w:shd w:val="clear" w:color="auto" w:fill="auto"/>
          </w:tcPr>
          <w:p w14:paraId="33910F1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2.365*</w:t>
            </w:r>
          </w:p>
        </w:tc>
        <w:tc>
          <w:tcPr>
            <w:tcW w:w="1303" w:type="dxa"/>
            <w:shd w:val="clear" w:color="auto" w:fill="auto"/>
          </w:tcPr>
          <w:p w14:paraId="5EFDF99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.081</w:t>
            </w:r>
          </w:p>
        </w:tc>
      </w:tr>
      <w:tr w:rsidR="008157BA" w:rsidRPr="008157BA" w14:paraId="5AF1DC3B" w14:textId="77777777" w:rsidTr="008157BA">
        <w:trPr>
          <w:jc w:val="center"/>
        </w:trPr>
        <w:tc>
          <w:tcPr>
            <w:tcW w:w="5085" w:type="dxa"/>
            <w:shd w:val="clear" w:color="auto" w:fill="auto"/>
          </w:tcPr>
          <w:p w14:paraId="1DDC325B"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Student expected level of education</w:t>
            </w:r>
          </w:p>
        </w:tc>
        <w:tc>
          <w:tcPr>
            <w:tcW w:w="1308" w:type="dxa"/>
            <w:shd w:val="clear" w:color="auto" w:fill="auto"/>
          </w:tcPr>
          <w:p w14:paraId="23849A6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.163</w:t>
            </w:r>
          </w:p>
        </w:tc>
        <w:tc>
          <w:tcPr>
            <w:tcW w:w="1329" w:type="dxa"/>
            <w:shd w:val="clear" w:color="auto" w:fill="auto"/>
          </w:tcPr>
          <w:p w14:paraId="31238CD3"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3.058*</w:t>
            </w:r>
          </w:p>
        </w:tc>
        <w:tc>
          <w:tcPr>
            <w:tcW w:w="1303" w:type="dxa"/>
            <w:shd w:val="clear" w:color="auto" w:fill="auto"/>
          </w:tcPr>
          <w:p w14:paraId="3BDE51B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.095</w:t>
            </w:r>
          </w:p>
        </w:tc>
      </w:tr>
      <w:tr w:rsidR="008157BA" w:rsidRPr="008157BA" w14:paraId="2CA5E2D6" w14:textId="77777777" w:rsidTr="008157BA">
        <w:trPr>
          <w:jc w:val="center"/>
        </w:trPr>
        <w:tc>
          <w:tcPr>
            <w:tcW w:w="5085" w:type="dxa"/>
            <w:shd w:val="clear" w:color="auto" w:fill="auto"/>
          </w:tcPr>
          <w:p w14:paraId="0B9A9BDA"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lastRenderedPageBreak/>
              <w:t>Academic experiences</w:t>
            </w:r>
          </w:p>
        </w:tc>
        <w:tc>
          <w:tcPr>
            <w:tcW w:w="1308" w:type="dxa"/>
            <w:shd w:val="clear" w:color="auto" w:fill="auto"/>
          </w:tcPr>
          <w:p w14:paraId="4559BA8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29" w:type="dxa"/>
            <w:shd w:val="clear" w:color="auto" w:fill="auto"/>
          </w:tcPr>
          <w:p w14:paraId="1E56DAEA"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03" w:type="dxa"/>
            <w:shd w:val="clear" w:color="auto" w:fill="auto"/>
          </w:tcPr>
          <w:p w14:paraId="05190A1E"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25BD569B" w14:textId="77777777" w:rsidTr="008157BA">
        <w:trPr>
          <w:jc w:val="center"/>
        </w:trPr>
        <w:tc>
          <w:tcPr>
            <w:tcW w:w="5085" w:type="dxa"/>
            <w:shd w:val="clear" w:color="auto" w:fill="auto"/>
          </w:tcPr>
          <w:p w14:paraId="72FBFF96"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Enrolled in AP classes</w:t>
            </w:r>
          </w:p>
        </w:tc>
        <w:tc>
          <w:tcPr>
            <w:tcW w:w="1308" w:type="dxa"/>
            <w:shd w:val="clear" w:color="auto" w:fill="auto"/>
          </w:tcPr>
          <w:p w14:paraId="48890126"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.297</w:t>
            </w:r>
          </w:p>
        </w:tc>
        <w:tc>
          <w:tcPr>
            <w:tcW w:w="1329" w:type="dxa"/>
            <w:shd w:val="clear" w:color="auto" w:fill="auto"/>
          </w:tcPr>
          <w:p w14:paraId="4AFDD8C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5.167***</w:t>
            </w:r>
          </w:p>
        </w:tc>
        <w:tc>
          <w:tcPr>
            <w:tcW w:w="1303" w:type="dxa"/>
            <w:shd w:val="clear" w:color="auto" w:fill="auto"/>
          </w:tcPr>
          <w:p w14:paraId="07716F09"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.090</w:t>
            </w:r>
          </w:p>
        </w:tc>
      </w:tr>
      <w:tr w:rsidR="008157BA" w:rsidRPr="008157BA" w14:paraId="605A6422" w14:textId="77777777" w:rsidTr="008157BA">
        <w:trPr>
          <w:jc w:val="center"/>
        </w:trPr>
        <w:tc>
          <w:tcPr>
            <w:tcW w:w="5085" w:type="dxa"/>
            <w:shd w:val="clear" w:color="auto" w:fill="auto"/>
          </w:tcPr>
          <w:p w14:paraId="6BB043D5"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Units in mathematics</w:t>
            </w:r>
          </w:p>
        </w:tc>
        <w:tc>
          <w:tcPr>
            <w:tcW w:w="1308" w:type="dxa"/>
            <w:shd w:val="clear" w:color="auto" w:fill="auto"/>
          </w:tcPr>
          <w:p w14:paraId="6427462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.121</w:t>
            </w:r>
          </w:p>
        </w:tc>
        <w:tc>
          <w:tcPr>
            <w:tcW w:w="1329" w:type="dxa"/>
            <w:shd w:val="clear" w:color="auto" w:fill="auto"/>
          </w:tcPr>
          <w:p w14:paraId="51BC19AB"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2.006*</w:t>
            </w:r>
          </w:p>
        </w:tc>
        <w:tc>
          <w:tcPr>
            <w:tcW w:w="1303" w:type="dxa"/>
            <w:shd w:val="clear" w:color="auto" w:fill="auto"/>
          </w:tcPr>
          <w:p w14:paraId="38318F7C"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.042</w:t>
            </w:r>
          </w:p>
        </w:tc>
      </w:tr>
      <w:tr w:rsidR="008157BA" w:rsidRPr="008157BA" w14:paraId="18311F5A" w14:textId="77777777" w:rsidTr="008157BA">
        <w:trPr>
          <w:jc w:val="center"/>
        </w:trPr>
        <w:tc>
          <w:tcPr>
            <w:tcW w:w="5085" w:type="dxa"/>
            <w:shd w:val="clear" w:color="auto" w:fill="auto"/>
          </w:tcPr>
          <w:p w14:paraId="06C04F43"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Passed state standardized mathematics test or not</w:t>
            </w:r>
          </w:p>
        </w:tc>
        <w:tc>
          <w:tcPr>
            <w:tcW w:w="1308" w:type="dxa"/>
            <w:shd w:val="clear" w:color="auto" w:fill="auto"/>
          </w:tcPr>
          <w:p w14:paraId="1AAD67D4"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.102</w:t>
            </w:r>
          </w:p>
        </w:tc>
        <w:tc>
          <w:tcPr>
            <w:tcW w:w="1329" w:type="dxa"/>
            <w:shd w:val="clear" w:color="auto" w:fill="auto"/>
          </w:tcPr>
          <w:p w14:paraId="0974E31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1.827</w:t>
            </w:r>
          </w:p>
        </w:tc>
        <w:tc>
          <w:tcPr>
            <w:tcW w:w="1303" w:type="dxa"/>
            <w:shd w:val="clear" w:color="auto" w:fill="auto"/>
          </w:tcPr>
          <w:p w14:paraId="6439CB1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.104</w:t>
            </w:r>
          </w:p>
        </w:tc>
      </w:tr>
      <w:tr w:rsidR="008157BA" w:rsidRPr="008157BA" w14:paraId="286C5821" w14:textId="77777777" w:rsidTr="008157BA">
        <w:trPr>
          <w:jc w:val="center"/>
        </w:trPr>
        <w:tc>
          <w:tcPr>
            <w:tcW w:w="5085" w:type="dxa"/>
            <w:shd w:val="clear" w:color="auto" w:fill="auto"/>
          </w:tcPr>
          <w:p w14:paraId="2F8C8C0C" w14:textId="77777777" w:rsidR="008157BA" w:rsidRPr="008157BA" w:rsidRDefault="008157BA" w:rsidP="00B43A32">
            <w:pPr>
              <w:pStyle w:val="AralkYok"/>
              <w:widowControl w:val="0"/>
              <w:suppressAutoHyphens/>
              <w:spacing w:line="360" w:lineRule="auto"/>
              <w:rPr>
                <w:rFonts w:ascii="Times New Roman" w:hAnsi="Times New Roman"/>
                <w:i/>
                <w:sz w:val="20"/>
                <w:szCs w:val="20"/>
              </w:rPr>
            </w:pPr>
            <w:r w:rsidRPr="008157BA">
              <w:rPr>
                <w:rFonts w:ascii="Times New Roman" w:hAnsi="Times New Roman"/>
                <w:i/>
                <w:sz w:val="20"/>
                <w:szCs w:val="20"/>
              </w:rPr>
              <w:t>Cultural discontinuity</w:t>
            </w:r>
          </w:p>
        </w:tc>
        <w:tc>
          <w:tcPr>
            <w:tcW w:w="1308" w:type="dxa"/>
            <w:shd w:val="clear" w:color="auto" w:fill="auto"/>
          </w:tcPr>
          <w:p w14:paraId="3DE585B8"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29" w:type="dxa"/>
            <w:shd w:val="clear" w:color="auto" w:fill="auto"/>
          </w:tcPr>
          <w:p w14:paraId="2947CA1F"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c>
          <w:tcPr>
            <w:tcW w:w="1303" w:type="dxa"/>
            <w:shd w:val="clear" w:color="auto" w:fill="auto"/>
          </w:tcPr>
          <w:p w14:paraId="4221DEC7"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p>
        </w:tc>
      </w:tr>
      <w:tr w:rsidR="008157BA" w:rsidRPr="008157BA" w14:paraId="6B05DEFF" w14:textId="77777777" w:rsidTr="008157BA">
        <w:trPr>
          <w:jc w:val="center"/>
        </w:trPr>
        <w:tc>
          <w:tcPr>
            <w:tcW w:w="5085" w:type="dxa"/>
            <w:tcBorders>
              <w:bottom w:val="single" w:sz="4" w:space="0" w:color="auto"/>
            </w:tcBorders>
            <w:shd w:val="clear" w:color="auto" w:fill="auto"/>
          </w:tcPr>
          <w:p w14:paraId="5F7DA9AD"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 xml:space="preserve">  Cultural discontinuity score</w:t>
            </w:r>
          </w:p>
        </w:tc>
        <w:tc>
          <w:tcPr>
            <w:tcW w:w="1308" w:type="dxa"/>
            <w:tcBorders>
              <w:bottom w:val="single" w:sz="4" w:space="0" w:color="auto"/>
            </w:tcBorders>
            <w:shd w:val="clear" w:color="auto" w:fill="auto"/>
          </w:tcPr>
          <w:p w14:paraId="72E33AD2"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-.130</w:t>
            </w:r>
          </w:p>
        </w:tc>
        <w:tc>
          <w:tcPr>
            <w:tcW w:w="1329" w:type="dxa"/>
            <w:tcBorders>
              <w:bottom w:val="single" w:sz="4" w:space="0" w:color="auto"/>
            </w:tcBorders>
            <w:shd w:val="clear" w:color="auto" w:fill="auto"/>
          </w:tcPr>
          <w:p w14:paraId="1254767D"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-2.643**</w:t>
            </w:r>
          </w:p>
        </w:tc>
        <w:tc>
          <w:tcPr>
            <w:tcW w:w="1303" w:type="dxa"/>
            <w:tcBorders>
              <w:bottom w:val="single" w:sz="4" w:space="0" w:color="auto"/>
            </w:tcBorders>
            <w:shd w:val="clear" w:color="auto" w:fill="auto"/>
          </w:tcPr>
          <w:p w14:paraId="4D5257FA" w14:textId="77777777" w:rsidR="008157BA" w:rsidRPr="008157BA" w:rsidRDefault="008157BA" w:rsidP="00B43A32">
            <w:pPr>
              <w:pStyle w:val="AralkYok"/>
              <w:widowControl w:val="0"/>
              <w:suppressAutoHyphens/>
              <w:spacing w:line="360" w:lineRule="auto"/>
              <w:jc w:val="center"/>
              <w:rPr>
                <w:rFonts w:ascii="Times New Roman" w:hAnsi="Times New Roman"/>
                <w:sz w:val="20"/>
                <w:szCs w:val="20"/>
              </w:rPr>
            </w:pPr>
            <w:r w:rsidRPr="008157BA">
              <w:rPr>
                <w:rFonts w:ascii="Times New Roman" w:hAnsi="Times New Roman"/>
                <w:sz w:val="20"/>
                <w:szCs w:val="20"/>
              </w:rPr>
              <w:t>.102</w:t>
            </w:r>
          </w:p>
        </w:tc>
      </w:tr>
      <w:tr w:rsidR="008157BA" w:rsidRPr="008157BA" w14:paraId="1011721F" w14:textId="77777777" w:rsidTr="008157BA">
        <w:trPr>
          <w:jc w:val="center"/>
        </w:trPr>
        <w:tc>
          <w:tcPr>
            <w:tcW w:w="9025" w:type="dxa"/>
            <w:gridSpan w:val="4"/>
            <w:tcBorders>
              <w:top w:val="single" w:sz="4" w:space="0" w:color="auto"/>
            </w:tcBorders>
            <w:shd w:val="clear" w:color="auto" w:fill="auto"/>
          </w:tcPr>
          <w:p w14:paraId="5B48B9EC"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i/>
                <w:sz w:val="20"/>
                <w:szCs w:val="20"/>
              </w:rPr>
              <w:t>Note</w:t>
            </w:r>
            <w:r w:rsidRPr="008157BA">
              <w:rPr>
                <w:rFonts w:ascii="Times New Roman" w:hAnsi="Times New Roman"/>
                <w:sz w:val="20"/>
                <w:szCs w:val="20"/>
              </w:rPr>
              <w:t>. AP = Advanced Placement</w:t>
            </w:r>
          </w:p>
        </w:tc>
      </w:tr>
      <w:tr w:rsidR="008157BA" w:rsidRPr="008157BA" w14:paraId="11B2EF34" w14:textId="77777777" w:rsidTr="008157BA">
        <w:trPr>
          <w:jc w:val="center"/>
        </w:trPr>
        <w:tc>
          <w:tcPr>
            <w:tcW w:w="9025" w:type="dxa"/>
            <w:gridSpan w:val="4"/>
            <w:shd w:val="clear" w:color="auto" w:fill="auto"/>
          </w:tcPr>
          <w:p w14:paraId="0853CB82" w14:textId="77777777" w:rsidR="008157BA" w:rsidRPr="008157BA" w:rsidRDefault="008157BA" w:rsidP="00B43A32">
            <w:pPr>
              <w:pStyle w:val="AralkYok"/>
              <w:widowControl w:val="0"/>
              <w:suppressAutoHyphens/>
              <w:spacing w:line="360" w:lineRule="auto"/>
              <w:rPr>
                <w:rFonts w:ascii="Times New Roman" w:hAnsi="Times New Roman"/>
                <w:sz w:val="20"/>
                <w:szCs w:val="20"/>
              </w:rPr>
            </w:pPr>
            <w:r w:rsidRPr="008157BA">
              <w:rPr>
                <w:rFonts w:ascii="Times New Roman" w:hAnsi="Times New Roman"/>
                <w:sz w:val="20"/>
                <w:szCs w:val="20"/>
              </w:rPr>
              <w:t>*</w:t>
            </w:r>
            <w:r w:rsidRPr="008157BA">
              <w:rPr>
                <w:rFonts w:ascii="Times New Roman" w:hAnsi="Times New Roman"/>
                <w:i/>
                <w:sz w:val="20"/>
                <w:szCs w:val="20"/>
              </w:rPr>
              <w:t>p</w:t>
            </w:r>
            <w:r w:rsidRPr="008157BA">
              <w:rPr>
                <w:rFonts w:ascii="Times New Roman" w:hAnsi="Times New Roman"/>
                <w:sz w:val="20"/>
                <w:szCs w:val="20"/>
              </w:rPr>
              <w:t xml:space="preserve"> &lt; .05. **</w:t>
            </w:r>
            <w:r w:rsidRPr="008157BA">
              <w:rPr>
                <w:rFonts w:ascii="Times New Roman" w:hAnsi="Times New Roman"/>
                <w:i/>
                <w:sz w:val="20"/>
                <w:szCs w:val="20"/>
              </w:rPr>
              <w:t>p</w:t>
            </w:r>
            <w:r w:rsidRPr="008157BA">
              <w:rPr>
                <w:rFonts w:ascii="Times New Roman" w:hAnsi="Times New Roman"/>
                <w:sz w:val="20"/>
                <w:szCs w:val="20"/>
              </w:rPr>
              <w:t xml:space="preserve"> &lt; .01. ***</w:t>
            </w:r>
            <w:r w:rsidRPr="008157BA">
              <w:rPr>
                <w:rFonts w:ascii="Times New Roman" w:hAnsi="Times New Roman"/>
                <w:i/>
                <w:sz w:val="20"/>
                <w:szCs w:val="20"/>
              </w:rPr>
              <w:t>p</w:t>
            </w:r>
            <w:r w:rsidRPr="008157BA">
              <w:rPr>
                <w:rFonts w:ascii="Times New Roman" w:hAnsi="Times New Roman"/>
                <w:sz w:val="20"/>
                <w:szCs w:val="20"/>
              </w:rPr>
              <w:t xml:space="preserve"> &lt; .001.</w:t>
            </w:r>
          </w:p>
        </w:tc>
      </w:tr>
    </w:tbl>
    <w:p w14:paraId="4F9B5904" w14:textId="73B58CA5" w:rsidR="008157BA" w:rsidRPr="008157BA" w:rsidRDefault="008157BA" w:rsidP="008157BA">
      <w:pPr>
        <w:widowControl w:val="0"/>
        <w:spacing w:line="360" w:lineRule="auto"/>
        <w:rPr>
          <w:rFonts w:cs="Times New Roman"/>
        </w:rPr>
      </w:pPr>
    </w:p>
    <w:p w14:paraId="15B2C42D" w14:textId="77777777" w:rsidR="008157BA" w:rsidRPr="008157BA" w:rsidRDefault="008157BA" w:rsidP="008157BA">
      <w:pPr>
        <w:widowControl w:val="0"/>
        <w:spacing w:line="360" w:lineRule="auto"/>
        <w:rPr>
          <w:rFonts w:cs="Times New Roman"/>
          <w:b/>
          <w:sz w:val="24"/>
          <w:szCs w:val="24"/>
        </w:rPr>
      </w:pPr>
      <w:r w:rsidRPr="008157BA">
        <w:rPr>
          <w:rFonts w:cs="Times New Roman"/>
          <w:b/>
          <w:sz w:val="24"/>
          <w:szCs w:val="24"/>
        </w:rPr>
        <w:t>Discussion</w:t>
      </w:r>
    </w:p>
    <w:p w14:paraId="061C9E09"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12E76EC7"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Results of this study advance prior research by documenting the influence of cultural value factors on GPA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secondary students. In the present study, cultural discontinuity </w:t>
      </w:r>
      <w:proofErr w:type="gramStart"/>
      <w:r w:rsidRPr="008157BA">
        <w:rPr>
          <w:rFonts w:ascii="Times New Roman" w:hAnsi="Times New Roman"/>
          <w:sz w:val="20"/>
          <w:szCs w:val="20"/>
        </w:rPr>
        <w:t>was found</w:t>
      </w:r>
      <w:proofErr w:type="gramEnd"/>
      <w:r w:rsidRPr="008157BA">
        <w:rPr>
          <w:rFonts w:ascii="Times New Roman" w:hAnsi="Times New Roman"/>
          <w:sz w:val="20"/>
          <w:szCs w:val="20"/>
        </w:rPr>
        <w:t xml:space="preserve"> to have an inverse relationship with GPA. In other words, students who reported experiencing higher levels of cultural discontinuity had lower GPAs than students who reported lower levels of cultural discontinuity. This is important given that prior research has shown achievement, including grades, to have multiple effects on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including influence on their psychological outcomes, dropout rates, college enrollment, and career aspirations and opportunities (e.g., Fu et al., 2021; Valle et al., 2013; Zarate &amp; Pineda, 2014). For example, in a national longitudinal study, high school GPA </w:t>
      </w:r>
      <w:proofErr w:type="gramStart"/>
      <w:r w:rsidRPr="008157BA">
        <w:rPr>
          <w:rFonts w:ascii="Times New Roman" w:hAnsi="Times New Roman"/>
          <w:sz w:val="20"/>
          <w:szCs w:val="20"/>
        </w:rPr>
        <w:t>was found</w:t>
      </w:r>
      <w:proofErr w:type="gramEnd"/>
      <w:r w:rsidRPr="008157BA">
        <w:rPr>
          <w:rFonts w:ascii="Times New Roman" w:hAnsi="Times New Roman"/>
          <w:sz w:val="20"/>
          <w:szCs w:val="20"/>
        </w:rPr>
        <w:t xml:space="preserve"> to be a positive predictor of six-year baccalaureate degree attainment among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(Arellano, 2020). Therefore, results suggest that cultural discontinuity may serve to advance or prohibit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educational outcomes.</w:t>
      </w:r>
    </w:p>
    <w:p w14:paraId="539181E9"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1031BBA3"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Enrollment in AP classes and the number of mathematics units in which a student </w:t>
      </w:r>
      <w:proofErr w:type="gramStart"/>
      <w:r w:rsidRPr="008157BA">
        <w:rPr>
          <w:rFonts w:ascii="Times New Roman" w:hAnsi="Times New Roman"/>
          <w:sz w:val="20"/>
          <w:szCs w:val="20"/>
        </w:rPr>
        <w:t>was enrolled</w:t>
      </w:r>
      <w:proofErr w:type="gramEnd"/>
      <w:r w:rsidRPr="008157BA">
        <w:rPr>
          <w:rFonts w:ascii="Times New Roman" w:hAnsi="Times New Roman"/>
          <w:sz w:val="20"/>
          <w:szCs w:val="20"/>
        </w:rPr>
        <w:t xml:space="preserve"> during high school also were found to contribute to GPA, even after controlling for the other variables in the model. As such, results from this study support earlier research indicating that the level of rigor in academic courses does influence student achievement (e.g., Gonzalez et al., 2003). For instance, research has shown that students in high-level tracks have better academic and psychological/emotional outcomes </w:t>
      </w:r>
      <w:proofErr w:type="gramStart"/>
      <w:r w:rsidRPr="008157BA">
        <w:rPr>
          <w:rFonts w:ascii="Times New Roman" w:hAnsi="Times New Roman"/>
          <w:sz w:val="20"/>
          <w:szCs w:val="20"/>
        </w:rPr>
        <w:t>than students</w:t>
      </w:r>
      <w:proofErr w:type="gramEnd"/>
      <w:r w:rsidRPr="008157BA">
        <w:rPr>
          <w:rFonts w:ascii="Times New Roman" w:hAnsi="Times New Roman"/>
          <w:sz w:val="20"/>
          <w:szCs w:val="20"/>
        </w:rPr>
        <w:t xml:space="preserve"> in low-level tracks. These positive outcomes include grades, test scores, dropout rates, college aspirations and enrollment, self-esteem, and identity development (e.g., Jackson, 2014; </w:t>
      </w:r>
      <w:proofErr w:type="spellStart"/>
      <w:r w:rsidRPr="008157BA">
        <w:rPr>
          <w:rFonts w:ascii="Times New Roman" w:hAnsi="Times New Roman"/>
          <w:sz w:val="20"/>
          <w:szCs w:val="20"/>
        </w:rPr>
        <w:t>Mosqueda</w:t>
      </w:r>
      <w:proofErr w:type="spellEnd"/>
      <w:r w:rsidRPr="008157BA">
        <w:rPr>
          <w:rFonts w:ascii="Times New Roman" w:hAnsi="Times New Roman"/>
          <w:sz w:val="20"/>
          <w:szCs w:val="20"/>
        </w:rPr>
        <w:t xml:space="preserve"> &amp; Maldonado, 2013; Taggart &amp; Paschal, 2017).</w:t>
      </w:r>
    </w:p>
    <w:p w14:paraId="5EF81695"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FD0A064"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Additionally, students’ expected level of educational attainment </w:t>
      </w:r>
      <w:proofErr w:type="gramStart"/>
      <w:r w:rsidRPr="008157BA">
        <w:rPr>
          <w:rFonts w:ascii="Times New Roman" w:hAnsi="Times New Roman"/>
          <w:sz w:val="20"/>
          <w:szCs w:val="20"/>
        </w:rPr>
        <w:t>was found</w:t>
      </w:r>
      <w:proofErr w:type="gramEnd"/>
      <w:r w:rsidRPr="008157BA">
        <w:rPr>
          <w:rFonts w:ascii="Times New Roman" w:hAnsi="Times New Roman"/>
          <w:sz w:val="20"/>
          <w:szCs w:val="20"/>
        </w:rPr>
        <w:t xml:space="preserve"> to contribute to GPA even after controlling for other variables in the model. This aligns with previous research showing that academic achievement may correlate with aspiring to earn at least a bachelor’s degree (e.g., Taggart &amp; Paschal, 2017). For example, using a nationally representative database, Cooper (2009) found that achievement in mathematics was a positive predictor of high educational aspirations while being enrolled in a general curriculum rather than a college preparatory curriculum was negatively associated with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high school students’ educational aspirations.</w:t>
      </w:r>
    </w:p>
    <w:p w14:paraId="6E873F12" w14:textId="74E7E888"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 </w:t>
      </w:r>
    </w:p>
    <w:p w14:paraId="558B99C9"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Expectedly, students who reported experiencing lower levels of cultural discontinuity had higher mean GPAs, </w:t>
      </w:r>
      <w:r w:rsidRPr="008157BA">
        <w:rPr>
          <w:rFonts w:ascii="Times New Roman" w:hAnsi="Times New Roman"/>
          <w:sz w:val="20"/>
          <w:szCs w:val="20"/>
        </w:rPr>
        <w:lastRenderedPageBreak/>
        <w:t xml:space="preserve">took a higher number of mathematics units, and passed a state-mandated standardized mathematics test at greater rates than did students with higher cultural discontinuity. However, greater percentages of students who expected to complete a bachelor’s degree and students who enrolled in AP classes reported experiencing higher levels of cultural discontinuity between home and school. These descriptive findings are surprising given that educational aspirations and AP enrollment </w:t>
      </w:r>
      <w:proofErr w:type="gramStart"/>
      <w:r w:rsidRPr="008157BA">
        <w:rPr>
          <w:rFonts w:ascii="Times New Roman" w:hAnsi="Times New Roman"/>
          <w:sz w:val="20"/>
          <w:szCs w:val="20"/>
        </w:rPr>
        <w:t>were found</w:t>
      </w:r>
      <w:proofErr w:type="gramEnd"/>
      <w:r w:rsidRPr="008157BA">
        <w:rPr>
          <w:rFonts w:ascii="Times New Roman" w:hAnsi="Times New Roman"/>
          <w:sz w:val="20"/>
          <w:szCs w:val="20"/>
        </w:rPr>
        <w:t xml:space="preserve"> to positively predict GPA. Although it appears incongruous that variables associated with greater academic achievement would be associated with students who feel higher levels of discontinuity between home and school, these findings </w:t>
      </w:r>
      <w:proofErr w:type="gramStart"/>
      <w:r w:rsidRPr="008157BA">
        <w:rPr>
          <w:rFonts w:ascii="Times New Roman" w:hAnsi="Times New Roman"/>
          <w:sz w:val="20"/>
          <w:szCs w:val="20"/>
        </w:rPr>
        <w:t>could be considered</w:t>
      </w:r>
      <w:proofErr w:type="gramEnd"/>
      <w:r w:rsidRPr="008157BA">
        <w:rPr>
          <w:rFonts w:ascii="Times New Roman" w:hAnsi="Times New Roman"/>
          <w:sz w:val="20"/>
          <w:szCs w:val="20"/>
        </w:rPr>
        <w:t xml:space="preserve"> in light of previous research on assimilation and cultural values for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w:t>
      </w:r>
    </w:p>
    <w:p w14:paraId="6797A4C9"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3F999B05"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For instance, Kim et al.’s (2013) research with nearly 300 Mexican-American students found that students who retained their cultural heritage rather than embracing mainstream cultural practices </w:t>
      </w:r>
      <w:proofErr w:type="gramStart"/>
      <w:r w:rsidRPr="008157BA">
        <w:rPr>
          <w:rFonts w:ascii="Times New Roman" w:hAnsi="Times New Roman"/>
          <w:sz w:val="20"/>
          <w:szCs w:val="20"/>
        </w:rPr>
        <w:t>reported significantly higher educational achievement than did highly assimilated students</w:t>
      </w:r>
      <w:proofErr w:type="gramEnd"/>
      <w:r w:rsidRPr="008157BA">
        <w:rPr>
          <w:rFonts w:ascii="Times New Roman" w:hAnsi="Times New Roman"/>
          <w:sz w:val="20"/>
          <w:szCs w:val="20"/>
        </w:rPr>
        <w:t xml:space="preserve">. According to the researchers, this finding reflects the assimilation paradox “in which a greater degree of assimilation…is associated with more negative outcomes” (Kim et al., 2013, p. 48). Other research with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has found that the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cultural value of </w:t>
      </w:r>
      <w:proofErr w:type="spellStart"/>
      <w:r w:rsidRPr="008157BA">
        <w:rPr>
          <w:rFonts w:ascii="Times New Roman" w:hAnsi="Times New Roman"/>
          <w:sz w:val="20"/>
          <w:szCs w:val="20"/>
        </w:rPr>
        <w:t>familism</w:t>
      </w:r>
      <w:proofErr w:type="spellEnd"/>
      <w:r w:rsidRPr="008157BA">
        <w:rPr>
          <w:rFonts w:ascii="Times New Roman" w:hAnsi="Times New Roman"/>
          <w:sz w:val="20"/>
          <w:szCs w:val="20"/>
        </w:rPr>
        <w:t>, which is closely related to collectivism, was positively related to grades (</w:t>
      </w:r>
      <w:proofErr w:type="spellStart"/>
      <w:r w:rsidRPr="008157BA">
        <w:rPr>
          <w:rFonts w:ascii="Times New Roman" w:hAnsi="Times New Roman"/>
          <w:sz w:val="20"/>
          <w:szCs w:val="20"/>
        </w:rPr>
        <w:t>Cupito</w:t>
      </w:r>
      <w:proofErr w:type="spellEnd"/>
      <w:r w:rsidRPr="008157BA">
        <w:rPr>
          <w:rFonts w:ascii="Times New Roman" w:hAnsi="Times New Roman"/>
          <w:sz w:val="20"/>
          <w:szCs w:val="20"/>
        </w:rPr>
        <w:t xml:space="preserve"> et al., 2015), higher levels of educational attainment (Roche et al., 2012), greater academic motivation (Stein et al., 2020), and lower levels of risk behavior (Wheeler et al., 2017).</w:t>
      </w:r>
    </w:p>
    <w:p w14:paraId="02DCED28"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082BEF1"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These ideas may be useful when thinking about the results of the present study, which showed that students who experienced higher levels of cultural discontinuity between home and school also were more likely to </w:t>
      </w:r>
      <w:proofErr w:type="gramStart"/>
      <w:r w:rsidRPr="008157BA">
        <w:rPr>
          <w:rFonts w:ascii="Times New Roman" w:hAnsi="Times New Roman"/>
          <w:sz w:val="20"/>
          <w:szCs w:val="20"/>
        </w:rPr>
        <w:t>have college degree aspirations</w:t>
      </w:r>
      <w:proofErr w:type="gramEnd"/>
      <w:r w:rsidRPr="008157BA">
        <w:rPr>
          <w:rFonts w:ascii="Times New Roman" w:hAnsi="Times New Roman"/>
          <w:sz w:val="20"/>
          <w:szCs w:val="20"/>
        </w:rPr>
        <w:t xml:space="preserve"> and to be enrolled in AP courses. It may be that the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who experienced higher levels of cultural discontinuity did so even as they were associated with variables related to high student achievement because they were accommodating the values of the dominant school culture even as they held strongly to their own cultural values from home. Therefore, it may be that the cultural values promoted in AP courses are based on the Eurocentric values of individualism and competition, ensuring </w:t>
      </w:r>
      <w:proofErr w:type="gramStart"/>
      <w:r w:rsidRPr="008157BA">
        <w:rPr>
          <w:rFonts w:ascii="Times New Roman" w:hAnsi="Times New Roman"/>
          <w:sz w:val="20"/>
          <w:szCs w:val="20"/>
        </w:rPr>
        <w:t>a disconnect</w:t>
      </w:r>
      <w:proofErr w:type="gramEnd"/>
      <w:r w:rsidRPr="008157BA">
        <w:rPr>
          <w:rFonts w:ascii="Times New Roman" w:hAnsi="Times New Roman"/>
          <w:sz w:val="20"/>
          <w:szCs w:val="20"/>
        </w:rPr>
        <w:t xml:space="preserve"> between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home- and school-based cultural values.</w:t>
      </w:r>
    </w:p>
    <w:p w14:paraId="62E41238"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629BEA0C" w14:textId="77777777" w:rsidR="008157BA" w:rsidRPr="008157BA" w:rsidRDefault="008157BA" w:rsidP="008157BA">
      <w:pPr>
        <w:widowControl w:val="0"/>
        <w:spacing w:line="360" w:lineRule="auto"/>
        <w:rPr>
          <w:rFonts w:cs="Times New Roman"/>
          <w:b/>
        </w:rPr>
      </w:pPr>
      <w:r w:rsidRPr="008157BA">
        <w:rPr>
          <w:rFonts w:cs="Times New Roman"/>
          <w:b/>
          <w:sz w:val="24"/>
        </w:rPr>
        <w:t>Recommendations</w:t>
      </w:r>
    </w:p>
    <w:p w14:paraId="126ECA4B" w14:textId="77777777" w:rsidR="008157BA" w:rsidRPr="008157BA" w:rsidRDefault="008157BA" w:rsidP="008157BA">
      <w:pPr>
        <w:pStyle w:val="Default"/>
        <w:widowControl w:val="0"/>
        <w:suppressAutoHyphens/>
        <w:spacing w:line="360" w:lineRule="auto"/>
        <w:jc w:val="both"/>
        <w:rPr>
          <w:rFonts w:ascii="Times New Roman" w:hAnsi="Times New Roman" w:cs="Times New Roman"/>
          <w:b/>
          <w:color w:val="auto"/>
          <w:sz w:val="20"/>
          <w:szCs w:val="20"/>
          <w:lang w:val="en-US"/>
        </w:rPr>
      </w:pPr>
      <w:r w:rsidRPr="008157BA">
        <w:rPr>
          <w:rFonts w:ascii="Times New Roman" w:hAnsi="Times New Roman" w:cs="Times New Roman"/>
          <w:b/>
          <w:color w:val="auto"/>
          <w:sz w:val="20"/>
          <w:szCs w:val="20"/>
          <w:lang w:val="en-US"/>
        </w:rPr>
        <w:t>Recommendations for Future Research</w:t>
      </w:r>
    </w:p>
    <w:p w14:paraId="3F53635B"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ab/>
      </w:r>
    </w:p>
    <w:p w14:paraId="7D17782A"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Although this study contributes to our understanding of the relationship between cultural discontinuity and GPA, there are many other forms of achievement to consider when examining success for high school students. Therefore, future research should explore the impact of cultural discontinuity on academic outcomes such as test scores, high school graduation or dropout, college enrollment, and postsecondary degree completion. Moreover, the survey instrument utilized in this quantitative study could not capture all types of cultural discontinuity students may experience. It </w:t>
      </w:r>
      <w:proofErr w:type="gramStart"/>
      <w:r w:rsidRPr="008157BA">
        <w:rPr>
          <w:rFonts w:ascii="Times New Roman" w:hAnsi="Times New Roman"/>
          <w:sz w:val="20"/>
          <w:szCs w:val="20"/>
        </w:rPr>
        <w:t>is recommended</w:t>
      </w:r>
      <w:proofErr w:type="gramEnd"/>
      <w:r w:rsidRPr="008157BA">
        <w:rPr>
          <w:rFonts w:ascii="Times New Roman" w:hAnsi="Times New Roman"/>
          <w:sz w:val="20"/>
          <w:szCs w:val="20"/>
        </w:rPr>
        <w:t xml:space="preserve"> that qualitative research be conducted in order to provide a richer, deeper understanding of experiences of cultural discontinuity that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may encounter between home and school. Additionally, because rigorous </w:t>
      </w:r>
      <w:proofErr w:type="gramStart"/>
      <w:r w:rsidRPr="008157BA">
        <w:rPr>
          <w:rFonts w:ascii="Times New Roman" w:hAnsi="Times New Roman"/>
          <w:sz w:val="20"/>
          <w:szCs w:val="20"/>
        </w:rPr>
        <w:t>course-taking</w:t>
      </w:r>
      <w:proofErr w:type="gramEnd"/>
      <w:r w:rsidRPr="008157BA">
        <w:rPr>
          <w:rFonts w:ascii="Times New Roman" w:hAnsi="Times New Roman"/>
          <w:sz w:val="20"/>
          <w:szCs w:val="20"/>
        </w:rPr>
        <w:t xml:space="preserve"> has been shown in both this study and in previous research to influence student grades, future research should examine how schools and/or programs recruit and enroll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in AP, honors, and other advanced courses.</w:t>
      </w:r>
    </w:p>
    <w:p w14:paraId="6216EE4D" w14:textId="77777777" w:rsidR="008157BA" w:rsidRPr="008157BA" w:rsidRDefault="008157BA" w:rsidP="008157BA">
      <w:pPr>
        <w:pStyle w:val="Default"/>
        <w:widowControl w:val="0"/>
        <w:suppressAutoHyphens/>
        <w:spacing w:line="360" w:lineRule="auto"/>
        <w:jc w:val="both"/>
        <w:rPr>
          <w:rFonts w:ascii="Times New Roman" w:hAnsi="Times New Roman" w:cs="Times New Roman"/>
          <w:b/>
          <w:color w:val="auto"/>
          <w:sz w:val="20"/>
          <w:szCs w:val="20"/>
          <w:lang w:val="en-US"/>
        </w:rPr>
      </w:pPr>
      <w:r w:rsidRPr="008157BA">
        <w:rPr>
          <w:rFonts w:ascii="Times New Roman" w:hAnsi="Times New Roman" w:cs="Times New Roman"/>
          <w:b/>
          <w:color w:val="auto"/>
          <w:sz w:val="20"/>
          <w:szCs w:val="20"/>
          <w:lang w:val="en-US"/>
        </w:rPr>
        <w:lastRenderedPageBreak/>
        <w:t>Recommendations for Practice</w:t>
      </w:r>
    </w:p>
    <w:p w14:paraId="24C0EA86"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17F1D566"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Because schools play a decisive role in dictating the educational success of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through organizational, curricular, cultural, and instructional practices, the findings of this study will benefit any educator interested in or already involved in implementing culturally relevant pedagogy in schools and classrooms. An awareness of the discontinuity between the home and school lives of diverse groups of students may help educators to adapt their current instructional strategies and work to improve the academic success of these students. To encourage teaching practices designed with all students in mind, culturally relevant pedagogy </w:t>
      </w:r>
      <w:proofErr w:type="gramStart"/>
      <w:r w:rsidRPr="008157BA">
        <w:rPr>
          <w:rFonts w:ascii="Times New Roman" w:hAnsi="Times New Roman"/>
          <w:sz w:val="20"/>
          <w:szCs w:val="20"/>
        </w:rPr>
        <w:t>should be integrated</w:t>
      </w:r>
      <w:proofErr w:type="gramEnd"/>
      <w:r w:rsidRPr="008157BA">
        <w:rPr>
          <w:rFonts w:ascii="Times New Roman" w:hAnsi="Times New Roman"/>
          <w:sz w:val="20"/>
          <w:szCs w:val="20"/>
        </w:rPr>
        <w:t xml:space="preserve"> into classroom instruction and the cultural values of diverse groups of students should be reflected in school activities. To accomplish this, teachers and school administrators </w:t>
      </w:r>
      <w:proofErr w:type="gramStart"/>
      <w:r w:rsidRPr="008157BA">
        <w:rPr>
          <w:rFonts w:ascii="Times New Roman" w:hAnsi="Times New Roman"/>
          <w:sz w:val="20"/>
          <w:szCs w:val="20"/>
        </w:rPr>
        <w:t>must be trained</w:t>
      </w:r>
      <w:proofErr w:type="gramEnd"/>
      <w:r w:rsidRPr="008157BA">
        <w:rPr>
          <w:rFonts w:ascii="Times New Roman" w:hAnsi="Times New Roman"/>
          <w:sz w:val="20"/>
          <w:szCs w:val="20"/>
        </w:rPr>
        <w:t xml:space="preserve"> in culturally responsive teaching practices. Although all educators </w:t>
      </w:r>
      <w:proofErr w:type="gramStart"/>
      <w:r w:rsidRPr="008157BA">
        <w:rPr>
          <w:rFonts w:ascii="Times New Roman" w:hAnsi="Times New Roman"/>
          <w:sz w:val="20"/>
          <w:szCs w:val="20"/>
        </w:rPr>
        <w:t>should be exposed</w:t>
      </w:r>
      <w:proofErr w:type="gramEnd"/>
      <w:r w:rsidRPr="008157BA">
        <w:rPr>
          <w:rFonts w:ascii="Times New Roman" w:hAnsi="Times New Roman"/>
          <w:sz w:val="20"/>
          <w:szCs w:val="20"/>
        </w:rPr>
        <w:t xml:space="preserve"> to such training, it should be required especially of teachers and administrators working in schools with large populations of racial/ethnic minority students. </w:t>
      </w:r>
    </w:p>
    <w:p w14:paraId="33945ECE"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5E05D9E1"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r w:rsidRPr="008157BA">
        <w:rPr>
          <w:rFonts w:ascii="Times New Roman" w:hAnsi="Times New Roman"/>
          <w:sz w:val="20"/>
          <w:szCs w:val="20"/>
        </w:rPr>
        <w:t xml:space="preserve">Conclusions from this study highlight the important role that teachers play in students’ academic achievement, as they are the individuals who control classroom activities, assign students’ grades, and funnel them into particular course-taking patterns. Results of this study showed that enrollment in AP classes and more mathematics classes was a significant predictor of GPA. Previous research has shown that early placement of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in AP courses </w:t>
      </w:r>
      <w:proofErr w:type="gramStart"/>
      <w:r w:rsidRPr="008157BA">
        <w:rPr>
          <w:rFonts w:ascii="Times New Roman" w:hAnsi="Times New Roman"/>
          <w:sz w:val="20"/>
          <w:szCs w:val="20"/>
        </w:rPr>
        <w:t>has been shown</w:t>
      </w:r>
      <w:proofErr w:type="gramEnd"/>
      <w:r w:rsidRPr="008157BA">
        <w:rPr>
          <w:rFonts w:ascii="Times New Roman" w:hAnsi="Times New Roman"/>
          <w:sz w:val="20"/>
          <w:szCs w:val="20"/>
        </w:rPr>
        <w:t xml:space="preserve"> to increase their enrollment in further advanced courses (</w:t>
      </w:r>
      <w:proofErr w:type="spellStart"/>
      <w:r w:rsidRPr="008157BA">
        <w:rPr>
          <w:rFonts w:ascii="Times New Roman" w:hAnsi="Times New Roman"/>
          <w:sz w:val="20"/>
          <w:szCs w:val="20"/>
        </w:rPr>
        <w:t>Shiu</w:t>
      </w:r>
      <w:proofErr w:type="spellEnd"/>
      <w:r w:rsidRPr="008157BA">
        <w:rPr>
          <w:rFonts w:ascii="Times New Roman" w:hAnsi="Times New Roman"/>
          <w:sz w:val="20"/>
          <w:szCs w:val="20"/>
        </w:rPr>
        <w:t xml:space="preserve"> et al., 2009).  Given </w:t>
      </w:r>
      <w:proofErr w:type="gramStart"/>
      <w:r w:rsidRPr="008157BA">
        <w:rPr>
          <w:rFonts w:ascii="Times New Roman" w:hAnsi="Times New Roman"/>
          <w:sz w:val="20"/>
          <w:szCs w:val="20"/>
        </w:rPr>
        <w:t>that</w:t>
      </w:r>
      <w:proofErr w:type="gramEnd"/>
      <w:r w:rsidRPr="008157BA">
        <w:rPr>
          <w:rFonts w:ascii="Times New Roman" w:hAnsi="Times New Roman"/>
          <w:sz w:val="20"/>
          <w:szCs w:val="20"/>
        </w:rPr>
        <w:t xml:space="preserve">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are often placed in honors classes at lower rates than are White students (</w:t>
      </w:r>
      <w:proofErr w:type="spellStart"/>
      <w:r w:rsidRPr="008157BA">
        <w:rPr>
          <w:rFonts w:ascii="Times New Roman" w:hAnsi="Times New Roman"/>
          <w:sz w:val="20"/>
          <w:szCs w:val="20"/>
        </w:rPr>
        <w:t>Witenko</w:t>
      </w:r>
      <w:proofErr w:type="spellEnd"/>
      <w:r w:rsidRPr="008157BA">
        <w:rPr>
          <w:rFonts w:ascii="Times New Roman" w:hAnsi="Times New Roman"/>
          <w:sz w:val="20"/>
          <w:szCs w:val="20"/>
        </w:rPr>
        <w:t xml:space="preserve">, 2017), a necessary step in the process of ensuring equitable educational opportunities for all students is to provide them with access to a rigorous academic curriculum. Therefore, it is recommended that high schools place an increased emphasis on advanced </w:t>
      </w:r>
      <w:proofErr w:type="gramStart"/>
      <w:r w:rsidRPr="008157BA">
        <w:rPr>
          <w:rFonts w:ascii="Times New Roman" w:hAnsi="Times New Roman"/>
          <w:sz w:val="20"/>
          <w:szCs w:val="20"/>
        </w:rPr>
        <w:t>course-taking</w:t>
      </w:r>
      <w:proofErr w:type="gramEnd"/>
      <w:r w:rsidRPr="008157BA">
        <w:rPr>
          <w:rFonts w:ascii="Times New Roman" w:hAnsi="Times New Roman"/>
          <w:sz w:val="20"/>
          <w:szCs w:val="20"/>
        </w:rPr>
        <w:t xml:space="preserve">, which should include targeted recruitment of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w:t>
      </w:r>
    </w:p>
    <w:p w14:paraId="21846CCC" w14:textId="77777777" w:rsidR="008157BA" w:rsidRPr="008157BA" w:rsidRDefault="008157BA" w:rsidP="008157BA">
      <w:pPr>
        <w:pStyle w:val="AralkYok"/>
        <w:widowControl w:val="0"/>
        <w:suppressAutoHyphens/>
        <w:spacing w:line="360" w:lineRule="auto"/>
        <w:jc w:val="both"/>
        <w:rPr>
          <w:rFonts w:ascii="Times New Roman" w:hAnsi="Times New Roman"/>
          <w:sz w:val="20"/>
          <w:szCs w:val="20"/>
        </w:rPr>
      </w:pPr>
    </w:p>
    <w:p w14:paraId="704EA2B3" w14:textId="77777777" w:rsidR="008157BA" w:rsidRPr="008157BA" w:rsidRDefault="008157BA" w:rsidP="008157BA">
      <w:pPr>
        <w:widowControl w:val="0"/>
        <w:spacing w:line="360" w:lineRule="auto"/>
        <w:rPr>
          <w:rFonts w:cs="Times New Roman"/>
          <w:b/>
        </w:rPr>
      </w:pPr>
      <w:r w:rsidRPr="008157BA">
        <w:rPr>
          <w:rFonts w:cs="Times New Roman"/>
          <w:b/>
          <w:sz w:val="24"/>
        </w:rPr>
        <w:t>References</w:t>
      </w:r>
    </w:p>
    <w:p w14:paraId="13C4B001" w14:textId="77777777" w:rsidR="008157BA" w:rsidRPr="008157BA" w:rsidRDefault="008157BA" w:rsidP="008157BA">
      <w:pPr>
        <w:widowControl w:val="0"/>
        <w:spacing w:line="360" w:lineRule="auto"/>
        <w:rPr>
          <w:rFonts w:cs="Times New Roman"/>
        </w:rPr>
      </w:pPr>
    </w:p>
    <w:p w14:paraId="7BA0DD51" w14:textId="77777777" w:rsidR="008157BA" w:rsidRPr="008157BA" w:rsidRDefault="008157BA" w:rsidP="008157BA">
      <w:pPr>
        <w:widowControl w:val="0"/>
        <w:spacing w:line="360" w:lineRule="auto"/>
        <w:ind w:left="720" w:hanging="720"/>
        <w:rPr>
          <w:rFonts w:cs="Times New Roman"/>
          <w:szCs w:val="20"/>
        </w:rPr>
      </w:pPr>
      <w:r w:rsidRPr="008157BA">
        <w:rPr>
          <w:rFonts w:cs="Times New Roman"/>
          <w:szCs w:val="20"/>
        </w:rPr>
        <w:t xml:space="preserve">Arellano, L. (2020). Capitalizing baccalaureate degree attainment: Identifying student and institution level characteristics that ensure success for </w:t>
      </w:r>
      <w:proofErr w:type="spellStart"/>
      <w:r w:rsidRPr="008157BA">
        <w:rPr>
          <w:rFonts w:cs="Times New Roman"/>
          <w:szCs w:val="20"/>
        </w:rPr>
        <w:t>Latinxs</w:t>
      </w:r>
      <w:proofErr w:type="spellEnd"/>
      <w:r w:rsidRPr="008157BA">
        <w:rPr>
          <w:rFonts w:cs="Times New Roman"/>
          <w:szCs w:val="20"/>
        </w:rPr>
        <w:t xml:space="preserve">. </w:t>
      </w:r>
      <w:r w:rsidRPr="008157BA">
        <w:rPr>
          <w:rFonts w:cs="Times New Roman"/>
          <w:i/>
          <w:szCs w:val="20"/>
        </w:rPr>
        <w:t>The Journal of Higher Education, 91</w:t>
      </w:r>
      <w:r w:rsidRPr="008157BA">
        <w:rPr>
          <w:rFonts w:cs="Times New Roman"/>
          <w:szCs w:val="20"/>
        </w:rPr>
        <w:t>(4), 588-619. https://doi.org/10.1080/00221546.2019.1669119</w:t>
      </w:r>
    </w:p>
    <w:p w14:paraId="65576D27" w14:textId="77777777" w:rsidR="008157BA" w:rsidRPr="008157BA" w:rsidRDefault="008157BA" w:rsidP="008157BA">
      <w:pPr>
        <w:widowControl w:val="0"/>
        <w:spacing w:line="360" w:lineRule="auto"/>
        <w:ind w:left="720" w:hanging="720"/>
        <w:rPr>
          <w:rFonts w:cs="Times New Roman"/>
          <w:szCs w:val="20"/>
        </w:rPr>
      </w:pPr>
      <w:r w:rsidRPr="008157BA">
        <w:rPr>
          <w:rFonts w:cs="Times New Roman"/>
          <w:szCs w:val="20"/>
        </w:rPr>
        <w:t>Arevalo, I., So, D., &amp; McNaughton-</w:t>
      </w:r>
      <w:proofErr w:type="spellStart"/>
      <w:r w:rsidRPr="008157BA">
        <w:rPr>
          <w:rFonts w:cs="Times New Roman"/>
          <w:szCs w:val="20"/>
        </w:rPr>
        <w:t>Cassill</w:t>
      </w:r>
      <w:proofErr w:type="spellEnd"/>
      <w:r w:rsidRPr="008157BA">
        <w:rPr>
          <w:rFonts w:cs="Times New Roman"/>
          <w:szCs w:val="20"/>
        </w:rPr>
        <w:t xml:space="preserve">, M. (2016). The role of collectivism among Latino American college students. </w:t>
      </w:r>
      <w:r w:rsidRPr="008157BA">
        <w:rPr>
          <w:rFonts w:cs="Times New Roman"/>
          <w:i/>
          <w:szCs w:val="20"/>
        </w:rPr>
        <w:t>Journal of Latinos and Education, 15</w:t>
      </w:r>
      <w:r w:rsidRPr="008157BA">
        <w:rPr>
          <w:rFonts w:cs="Times New Roman"/>
          <w:szCs w:val="20"/>
        </w:rPr>
        <w:t xml:space="preserve">(1), 3-11. </w:t>
      </w:r>
      <w:hyperlink r:id="rId17" w:history="1">
        <w:r w:rsidRPr="008157BA">
          <w:rPr>
            <w:rStyle w:val="Kpr"/>
            <w:rFonts w:cs="Times New Roman"/>
            <w:color w:val="auto"/>
            <w:szCs w:val="20"/>
            <w:u w:val="none"/>
          </w:rPr>
          <w:t>https://dx.doi.org/10.1080/15348431.2015.1045143</w:t>
        </w:r>
      </w:hyperlink>
    </w:p>
    <w:p w14:paraId="66034D67" w14:textId="77777777" w:rsidR="008157BA" w:rsidRPr="008157BA" w:rsidRDefault="008157BA" w:rsidP="008157BA">
      <w:pPr>
        <w:widowControl w:val="0"/>
        <w:spacing w:line="360" w:lineRule="auto"/>
        <w:ind w:left="720" w:hanging="720"/>
        <w:rPr>
          <w:rFonts w:cs="Times New Roman"/>
          <w:szCs w:val="20"/>
        </w:rPr>
      </w:pPr>
      <w:proofErr w:type="spellStart"/>
      <w:r w:rsidRPr="008157BA">
        <w:rPr>
          <w:rFonts w:cs="Times New Roman"/>
          <w:szCs w:val="20"/>
        </w:rPr>
        <w:t>Arunkumar</w:t>
      </w:r>
      <w:proofErr w:type="spellEnd"/>
      <w:r w:rsidRPr="008157BA">
        <w:rPr>
          <w:rFonts w:cs="Times New Roman"/>
          <w:szCs w:val="20"/>
        </w:rPr>
        <w:t xml:space="preserve">, R., </w:t>
      </w:r>
      <w:proofErr w:type="spellStart"/>
      <w:r w:rsidRPr="008157BA">
        <w:rPr>
          <w:rFonts w:cs="Times New Roman"/>
          <w:szCs w:val="20"/>
        </w:rPr>
        <w:t>Midgley</w:t>
      </w:r>
      <w:proofErr w:type="spellEnd"/>
      <w:r w:rsidRPr="008157BA">
        <w:rPr>
          <w:rFonts w:cs="Times New Roman"/>
          <w:szCs w:val="20"/>
        </w:rPr>
        <w:t xml:space="preserve">, C., &amp; </w:t>
      </w:r>
      <w:proofErr w:type="spellStart"/>
      <w:r w:rsidRPr="008157BA">
        <w:rPr>
          <w:rFonts w:cs="Times New Roman"/>
          <w:szCs w:val="20"/>
        </w:rPr>
        <w:t>Urdan</w:t>
      </w:r>
      <w:proofErr w:type="spellEnd"/>
      <w:r w:rsidRPr="008157BA">
        <w:rPr>
          <w:rFonts w:cs="Times New Roman"/>
          <w:szCs w:val="20"/>
        </w:rPr>
        <w:t xml:space="preserve">, T. (1999). Perceiving high or low home-school dissonance: Longitudinal effects on adolescent emotional and academic well-being. </w:t>
      </w:r>
      <w:r w:rsidRPr="008157BA">
        <w:rPr>
          <w:rFonts w:cs="Times New Roman"/>
          <w:i/>
          <w:iCs/>
          <w:szCs w:val="20"/>
        </w:rPr>
        <w:t>Journal of Research on Adolescence, 9</w:t>
      </w:r>
      <w:r w:rsidRPr="008157BA">
        <w:rPr>
          <w:rFonts w:cs="Times New Roman"/>
          <w:szCs w:val="20"/>
        </w:rPr>
        <w:t>(4), 441-466.</w:t>
      </w:r>
    </w:p>
    <w:p w14:paraId="27BD5943"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Baker, P. B. (2005). The impact of cultural biases on African American students’ education: A review of research literature regarding race based schooling. </w:t>
      </w:r>
      <w:r w:rsidRPr="008157BA">
        <w:rPr>
          <w:rFonts w:ascii="Times New Roman" w:hAnsi="Times New Roman"/>
          <w:i/>
          <w:iCs/>
          <w:sz w:val="20"/>
          <w:szCs w:val="20"/>
        </w:rPr>
        <w:t>Education and Urban Society, 37</w:t>
      </w:r>
      <w:r w:rsidRPr="008157BA">
        <w:rPr>
          <w:rFonts w:ascii="Times New Roman" w:hAnsi="Times New Roman"/>
          <w:sz w:val="20"/>
          <w:szCs w:val="20"/>
        </w:rPr>
        <w:t>(3), 243-256. https://doi.org/10.1177/0013124504274187</w:t>
      </w:r>
    </w:p>
    <w:p w14:paraId="261627F3"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Beachum</w:t>
      </w:r>
      <w:proofErr w:type="spellEnd"/>
      <w:r w:rsidRPr="008157BA">
        <w:rPr>
          <w:rFonts w:ascii="Times New Roman" w:hAnsi="Times New Roman"/>
          <w:sz w:val="20"/>
          <w:szCs w:val="20"/>
        </w:rPr>
        <w:t xml:space="preserve">, F. D., &amp; McCray, C. R. (2008). Dealing with cultural collision: What pre-service educators should </w:t>
      </w:r>
      <w:proofErr w:type="gramStart"/>
      <w:r w:rsidRPr="008157BA">
        <w:rPr>
          <w:rFonts w:ascii="Times New Roman" w:hAnsi="Times New Roman"/>
          <w:sz w:val="20"/>
          <w:szCs w:val="20"/>
        </w:rPr>
        <w:t>know.</w:t>
      </w:r>
      <w:proofErr w:type="gramEnd"/>
      <w:r w:rsidRPr="008157BA">
        <w:rPr>
          <w:rFonts w:ascii="Times New Roman" w:hAnsi="Times New Roman"/>
          <w:sz w:val="20"/>
          <w:szCs w:val="20"/>
        </w:rPr>
        <w:t xml:space="preserve"> In G. Goodman (Ed.), </w:t>
      </w:r>
      <w:r w:rsidRPr="008157BA">
        <w:rPr>
          <w:rFonts w:ascii="Times New Roman" w:hAnsi="Times New Roman"/>
          <w:i/>
          <w:iCs/>
          <w:sz w:val="20"/>
          <w:szCs w:val="20"/>
        </w:rPr>
        <w:t xml:space="preserve">Educational psychology: An application of critical constructivism </w:t>
      </w:r>
      <w:r w:rsidRPr="008157BA">
        <w:rPr>
          <w:rFonts w:ascii="Times New Roman" w:hAnsi="Times New Roman"/>
          <w:sz w:val="20"/>
          <w:szCs w:val="20"/>
        </w:rPr>
        <w:t>(pp. 53-70). Peter Lang.</w:t>
      </w:r>
    </w:p>
    <w:p w14:paraId="3B074921" w14:textId="77777777" w:rsidR="008157BA" w:rsidRPr="008157BA" w:rsidRDefault="008157BA" w:rsidP="008157BA">
      <w:pPr>
        <w:pStyle w:val="Default"/>
        <w:widowControl w:val="0"/>
        <w:suppressAutoHyphens/>
        <w:spacing w:line="360" w:lineRule="auto"/>
        <w:ind w:left="720" w:hanging="720"/>
        <w:jc w:val="both"/>
        <w:rPr>
          <w:rFonts w:ascii="Times New Roman" w:hAnsi="Times New Roman" w:cs="Times New Roman"/>
          <w:color w:val="auto"/>
          <w:sz w:val="20"/>
          <w:szCs w:val="20"/>
          <w:lang w:val="en-US"/>
        </w:rPr>
      </w:pPr>
      <w:r w:rsidRPr="008157BA">
        <w:rPr>
          <w:rFonts w:ascii="Times New Roman" w:hAnsi="Times New Roman" w:cs="Times New Roman"/>
          <w:color w:val="auto"/>
          <w:sz w:val="20"/>
          <w:szCs w:val="20"/>
          <w:lang w:val="en-US"/>
        </w:rPr>
        <w:lastRenderedPageBreak/>
        <w:t xml:space="preserve">Boykin, A. W., &amp; Cunningham, R. T. (2001). The effects of movement expressiveness in story content and learning context on the analogical reasoning performance of African-American children. </w:t>
      </w:r>
      <w:r w:rsidRPr="008157BA">
        <w:rPr>
          <w:rFonts w:ascii="Times New Roman" w:hAnsi="Times New Roman" w:cs="Times New Roman"/>
          <w:i/>
          <w:iCs/>
          <w:color w:val="auto"/>
          <w:sz w:val="20"/>
          <w:szCs w:val="20"/>
          <w:lang w:val="en-US"/>
        </w:rPr>
        <w:t>The Journal of Negro Education, 70</w:t>
      </w:r>
      <w:r w:rsidRPr="008157BA">
        <w:rPr>
          <w:rFonts w:ascii="Times New Roman" w:hAnsi="Times New Roman" w:cs="Times New Roman"/>
          <w:color w:val="auto"/>
          <w:sz w:val="20"/>
          <w:szCs w:val="20"/>
          <w:lang w:val="en-US"/>
        </w:rPr>
        <w:t xml:space="preserve">(1/2), 72-83. </w:t>
      </w:r>
    </w:p>
    <w:p w14:paraId="218D4524"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Boykin, A. W., Albury, A., Tyler, K. M., Hurley, E. A., Bailey, C. T., &amp; Miller, O. A. (2005). Culture-based perceptions of academic achievement among low-income elementary students. </w:t>
      </w:r>
      <w:r w:rsidRPr="008157BA">
        <w:rPr>
          <w:rFonts w:ascii="Times New Roman" w:hAnsi="Times New Roman"/>
          <w:i/>
          <w:iCs/>
          <w:sz w:val="20"/>
          <w:szCs w:val="20"/>
        </w:rPr>
        <w:t>Cultural Diversity and Ethnic Minority Psychology, 11</w:t>
      </w:r>
      <w:r w:rsidRPr="008157BA">
        <w:rPr>
          <w:rFonts w:ascii="Times New Roman" w:hAnsi="Times New Roman"/>
          <w:sz w:val="20"/>
          <w:szCs w:val="20"/>
        </w:rPr>
        <w:t>(4), 339-350. https://doi.org/10.1037/1099-9809.11.4.339</w:t>
      </w:r>
    </w:p>
    <w:p w14:paraId="43A23ADD"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Boykin, A. W., Tyler, K. M., &amp; Miller, O. (2005). In search of cultural themes and their expressions in the dynamics of classroom life. </w:t>
      </w:r>
      <w:r w:rsidRPr="008157BA">
        <w:rPr>
          <w:rFonts w:ascii="Times New Roman" w:hAnsi="Times New Roman"/>
          <w:i/>
          <w:iCs/>
          <w:sz w:val="20"/>
          <w:szCs w:val="20"/>
        </w:rPr>
        <w:t>Urban Education, 40</w:t>
      </w:r>
      <w:r w:rsidRPr="008157BA">
        <w:rPr>
          <w:rFonts w:ascii="Times New Roman" w:hAnsi="Times New Roman"/>
          <w:sz w:val="20"/>
          <w:szCs w:val="20"/>
        </w:rPr>
        <w:t>(5), 521-549. https://doi.org/10.1177/0042085905278179</w:t>
      </w:r>
    </w:p>
    <w:p w14:paraId="41B90062" w14:textId="77777777" w:rsidR="008157BA" w:rsidRPr="008157BA" w:rsidRDefault="008157BA" w:rsidP="008157BA">
      <w:pPr>
        <w:pStyle w:val="Default"/>
        <w:widowControl w:val="0"/>
        <w:suppressAutoHyphens/>
        <w:spacing w:line="360" w:lineRule="auto"/>
        <w:ind w:left="720" w:hanging="720"/>
        <w:jc w:val="both"/>
        <w:rPr>
          <w:rFonts w:ascii="Times New Roman" w:hAnsi="Times New Roman" w:cs="Times New Roman"/>
          <w:color w:val="auto"/>
          <w:sz w:val="20"/>
          <w:szCs w:val="20"/>
          <w:lang w:val="en-US"/>
        </w:rPr>
      </w:pPr>
      <w:proofErr w:type="gramStart"/>
      <w:r w:rsidRPr="008157BA">
        <w:rPr>
          <w:rFonts w:ascii="Times New Roman" w:hAnsi="Times New Roman" w:cs="Times New Roman"/>
          <w:color w:val="auto"/>
          <w:sz w:val="20"/>
          <w:szCs w:val="20"/>
          <w:lang w:val="en-US"/>
        </w:rPr>
        <w:t>Brace,</w:t>
      </w:r>
      <w:proofErr w:type="gramEnd"/>
      <w:r w:rsidRPr="008157BA">
        <w:rPr>
          <w:rFonts w:ascii="Times New Roman" w:hAnsi="Times New Roman" w:cs="Times New Roman"/>
          <w:color w:val="auto"/>
          <w:sz w:val="20"/>
          <w:szCs w:val="20"/>
          <w:lang w:val="en-US"/>
        </w:rPr>
        <w:t xml:space="preserve"> N., Kemp, R., &amp; </w:t>
      </w:r>
      <w:proofErr w:type="spellStart"/>
      <w:r w:rsidRPr="008157BA">
        <w:rPr>
          <w:rFonts w:ascii="Times New Roman" w:hAnsi="Times New Roman" w:cs="Times New Roman"/>
          <w:color w:val="auto"/>
          <w:sz w:val="20"/>
          <w:szCs w:val="20"/>
          <w:lang w:val="en-US"/>
        </w:rPr>
        <w:t>Snelgar</w:t>
      </w:r>
      <w:proofErr w:type="spellEnd"/>
      <w:r w:rsidRPr="008157BA">
        <w:rPr>
          <w:rFonts w:ascii="Times New Roman" w:hAnsi="Times New Roman" w:cs="Times New Roman"/>
          <w:color w:val="auto"/>
          <w:sz w:val="20"/>
          <w:szCs w:val="20"/>
          <w:lang w:val="en-US"/>
        </w:rPr>
        <w:t xml:space="preserve">, R. (2000). </w:t>
      </w:r>
      <w:r w:rsidRPr="008157BA">
        <w:rPr>
          <w:rFonts w:ascii="Times New Roman" w:hAnsi="Times New Roman" w:cs="Times New Roman"/>
          <w:i/>
          <w:iCs/>
          <w:color w:val="auto"/>
          <w:sz w:val="20"/>
          <w:szCs w:val="20"/>
          <w:lang w:val="en-US"/>
        </w:rPr>
        <w:t>SPSS for Psychologists</w:t>
      </w:r>
      <w:r w:rsidRPr="008157BA">
        <w:rPr>
          <w:rFonts w:ascii="Times New Roman" w:hAnsi="Times New Roman" w:cs="Times New Roman"/>
          <w:color w:val="auto"/>
          <w:sz w:val="20"/>
          <w:szCs w:val="20"/>
          <w:lang w:val="en-US"/>
        </w:rPr>
        <w:t xml:space="preserve">: </w:t>
      </w:r>
      <w:r w:rsidRPr="008157BA">
        <w:rPr>
          <w:rFonts w:ascii="Times New Roman" w:hAnsi="Times New Roman" w:cs="Times New Roman"/>
          <w:i/>
          <w:iCs/>
          <w:color w:val="auto"/>
          <w:sz w:val="20"/>
          <w:szCs w:val="20"/>
          <w:lang w:val="en-US"/>
        </w:rPr>
        <w:t>A guide to data analysis using SPSS for Windows</w:t>
      </w:r>
      <w:r w:rsidRPr="008157BA">
        <w:rPr>
          <w:rFonts w:ascii="Times New Roman" w:hAnsi="Times New Roman" w:cs="Times New Roman"/>
          <w:color w:val="auto"/>
          <w:sz w:val="20"/>
          <w:szCs w:val="20"/>
          <w:lang w:val="en-US"/>
        </w:rPr>
        <w:t xml:space="preserve">. Lawrence Erlbaum Associates. </w:t>
      </w:r>
    </w:p>
    <w:p w14:paraId="7150901B"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Bracey, G. W. (2000). </w:t>
      </w:r>
      <w:r w:rsidRPr="008157BA">
        <w:rPr>
          <w:rFonts w:ascii="Times New Roman" w:hAnsi="Times New Roman"/>
          <w:i/>
          <w:iCs/>
          <w:sz w:val="20"/>
          <w:szCs w:val="20"/>
        </w:rPr>
        <w:t xml:space="preserve">Bail me out! Handling difficult data and tough questions about public schools. </w:t>
      </w:r>
      <w:r w:rsidRPr="008157BA">
        <w:rPr>
          <w:rFonts w:ascii="Times New Roman" w:hAnsi="Times New Roman"/>
          <w:sz w:val="20"/>
          <w:szCs w:val="20"/>
        </w:rPr>
        <w:t>Corwin Press, Inc.</w:t>
      </w:r>
    </w:p>
    <w:p w14:paraId="3AB55A37"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Cartledge</w:t>
      </w:r>
      <w:proofErr w:type="spellEnd"/>
      <w:r w:rsidRPr="008157BA">
        <w:rPr>
          <w:rFonts w:ascii="Times New Roman" w:hAnsi="Times New Roman"/>
          <w:sz w:val="20"/>
          <w:szCs w:val="20"/>
        </w:rPr>
        <w:t xml:space="preserve">, G., &amp; </w:t>
      </w:r>
      <w:proofErr w:type="spellStart"/>
      <w:r w:rsidRPr="008157BA">
        <w:rPr>
          <w:rFonts w:ascii="Times New Roman" w:hAnsi="Times New Roman"/>
          <w:sz w:val="20"/>
          <w:szCs w:val="20"/>
        </w:rPr>
        <w:t>Loe</w:t>
      </w:r>
      <w:proofErr w:type="spellEnd"/>
      <w:r w:rsidRPr="008157BA">
        <w:rPr>
          <w:rFonts w:ascii="Times New Roman" w:hAnsi="Times New Roman"/>
          <w:sz w:val="20"/>
          <w:szCs w:val="20"/>
        </w:rPr>
        <w:t xml:space="preserve">, S. A. (2001). Cultural diversity and social skill instruction. </w:t>
      </w:r>
      <w:r w:rsidRPr="008157BA">
        <w:rPr>
          <w:rFonts w:ascii="Times New Roman" w:hAnsi="Times New Roman"/>
          <w:i/>
          <w:iCs/>
          <w:sz w:val="20"/>
          <w:szCs w:val="20"/>
        </w:rPr>
        <w:t>Exceptionality, 9</w:t>
      </w:r>
      <w:r w:rsidRPr="008157BA">
        <w:rPr>
          <w:rFonts w:ascii="Times New Roman" w:hAnsi="Times New Roman"/>
          <w:sz w:val="20"/>
          <w:szCs w:val="20"/>
        </w:rPr>
        <w:t>(</w:t>
      </w:r>
      <w:proofErr w:type="gramStart"/>
      <w:r w:rsidRPr="008157BA">
        <w:rPr>
          <w:rFonts w:ascii="Times New Roman" w:hAnsi="Times New Roman"/>
          <w:sz w:val="20"/>
          <w:szCs w:val="20"/>
        </w:rPr>
        <w:t>1&amp;</w:t>
      </w:r>
      <w:proofErr w:type="gramEnd"/>
      <w:r w:rsidRPr="008157BA">
        <w:rPr>
          <w:rFonts w:ascii="Times New Roman" w:hAnsi="Times New Roman"/>
          <w:sz w:val="20"/>
          <w:szCs w:val="20"/>
        </w:rPr>
        <w:t>2), 33-46.</w:t>
      </w:r>
    </w:p>
    <w:p w14:paraId="5A52B3F0"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Chang, J., Wang, S., Mancini, C., McGrath-</w:t>
      </w:r>
      <w:proofErr w:type="spellStart"/>
      <w:r w:rsidRPr="008157BA">
        <w:rPr>
          <w:rFonts w:ascii="Times New Roman" w:hAnsi="Times New Roman"/>
          <w:sz w:val="20"/>
          <w:szCs w:val="20"/>
        </w:rPr>
        <w:t>Mahrer</w:t>
      </w:r>
      <w:proofErr w:type="spellEnd"/>
      <w:r w:rsidRPr="008157BA">
        <w:rPr>
          <w:rFonts w:ascii="Times New Roman" w:hAnsi="Times New Roman"/>
          <w:sz w:val="20"/>
          <w:szCs w:val="20"/>
        </w:rPr>
        <w:t xml:space="preserve">, B., &amp; </w:t>
      </w:r>
      <w:proofErr w:type="spellStart"/>
      <w:r w:rsidRPr="008157BA">
        <w:rPr>
          <w:rFonts w:ascii="Times New Roman" w:hAnsi="Times New Roman"/>
          <w:sz w:val="20"/>
          <w:szCs w:val="20"/>
        </w:rPr>
        <w:t>Orama</w:t>
      </w:r>
      <w:proofErr w:type="spellEnd"/>
      <w:r w:rsidRPr="008157BA">
        <w:rPr>
          <w:rFonts w:ascii="Times New Roman" w:hAnsi="Times New Roman"/>
          <w:sz w:val="20"/>
          <w:szCs w:val="20"/>
        </w:rPr>
        <w:t xml:space="preserve"> de Jesus, S. (2020). The complexity of cultural mismatch in higher education: Norms affecting first-generation college students’ coping and help-seeking behaviors. </w:t>
      </w:r>
      <w:r w:rsidRPr="008157BA">
        <w:rPr>
          <w:rFonts w:ascii="Times New Roman" w:hAnsi="Times New Roman"/>
          <w:i/>
          <w:sz w:val="20"/>
          <w:szCs w:val="20"/>
        </w:rPr>
        <w:t>Cultural Diversity and Ethnic Minority Psychology, 26</w:t>
      </w:r>
      <w:r w:rsidRPr="008157BA">
        <w:rPr>
          <w:rFonts w:ascii="Times New Roman" w:hAnsi="Times New Roman"/>
          <w:sz w:val="20"/>
          <w:szCs w:val="20"/>
        </w:rPr>
        <w:t xml:space="preserve">(3), 280-294. </w:t>
      </w:r>
      <w:hyperlink r:id="rId18" w:history="1">
        <w:r w:rsidRPr="008157BA">
          <w:rPr>
            <w:rStyle w:val="Kpr"/>
            <w:rFonts w:ascii="Times New Roman" w:hAnsi="Times New Roman"/>
            <w:color w:val="auto"/>
            <w:sz w:val="20"/>
            <w:szCs w:val="20"/>
            <w:u w:val="none"/>
          </w:rPr>
          <w:t>http://dx.doi.org/10.1037/cdp0000311</w:t>
        </w:r>
      </w:hyperlink>
    </w:p>
    <w:p w14:paraId="31CDF4BA"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Cholewa</w:t>
      </w:r>
      <w:proofErr w:type="spellEnd"/>
      <w:r w:rsidRPr="008157BA">
        <w:rPr>
          <w:rFonts w:ascii="Times New Roman" w:hAnsi="Times New Roman"/>
          <w:sz w:val="20"/>
          <w:szCs w:val="20"/>
        </w:rPr>
        <w:t>, B., &amp; West-</w:t>
      </w:r>
      <w:proofErr w:type="spellStart"/>
      <w:r w:rsidRPr="008157BA">
        <w:rPr>
          <w:rFonts w:ascii="Times New Roman" w:hAnsi="Times New Roman"/>
          <w:sz w:val="20"/>
          <w:szCs w:val="20"/>
        </w:rPr>
        <w:t>Olatunji</w:t>
      </w:r>
      <w:proofErr w:type="spellEnd"/>
      <w:r w:rsidRPr="008157BA">
        <w:rPr>
          <w:rFonts w:ascii="Times New Roman" w:hAnsi="Times New Roman"/>
          <w:sz w:val="20"/>
          <w:szCs w:val="20"/>
        </w:rPr>
        <w:t xml:space="preserve">, C. (2008). Exploring the relationship among cultural discontinuity, psychological distress, and academic outcomes with low-income, culturally diverse students. </w:t>
      </w:r>
      <w:r w:rsidRPr="008157BA">
        <w:rPr>
          <w:rFonts w:ascii="Times New Roman" w:hAnsi="Times New Roman"/>
          <w:i/>
          <w:iCs/>
          <w:sz w:val="20"/>
          <w:szCs w:val="20"/>
        </w:rPr>
        <w:t>Professional School Counseling, 12</w:t>
      </w:r>
      <w:r w:rsidRPr="008157BA">
        <w:rPr>
          <w:rFonts w:ascii="Times New Roman" w:hAnsi="Times New Roman"/>
          <w:sz w:val="20"/>
          <w:szCs w:val="20"/>
        </w:rPr>
        <w:t>(1).</w:t>
      </w:r>
    </w:p>
    <w:p w14:paraId="453244AF" w14:textId="77777777" w:rsidR="008157BA" w:rsidRPr="008157BA" w:rsidRDefault="008157BA" w:rsidP="008157BA">
      <w:pPr>
        <w:widowControl w:val="0"/>
        <w:autoSpaceDE w:val="0"/>
        <w:autoSpaceDN w:val="0"/>
        <w:adjustRightInd w:val="0"/>
        <w:spacing w:line="360" w:lineRule="auto"/>
        <w:ind w:left="720" w:hanging="720"/>
        <w:rPr>
          <w:rFonts w:cs="Times New Roman"/>
          <w:szCs w:val="20"/>
        </w:rPr>
      </w:pPr>
      <w:r w:rsidRPr="008157BA">
        <w:rPr>
          <w:rFonts w:cs="Times New Roman"/>
          <w:szCs w:val="20"/>
        </w:rPr>
        <w:t xml:space="preserve">Cooper, M. A. (2009). Dreams </w:t>
      </w:r>
      <w:proofErr w:type="gramStart"/>
      <w:r w:rsidRPr="008157BA">
        <w:rPr>
          <w:rFonts w:cs="Times New Roman"/>
          <w:szCs w:val="20"/>
        </w:rPr>
        <w:t>deferred?</w:t>
      </w:r>
      <w:proofErr w:type="gramEnd"/>
      <w:r w:rsidRPr="008157BA">
        <w:rPr>
          <w:rFonts w:cs="Times New Roman"/>
          <w:szCs w:val="20"/>
        </w:rPr>
        <w:t xml:space="preserve"> The relationship between early college and later postsecondary educational aspirations among racial/ethnic groups. Educational Policy, 23(4), 615–650. https://doi.org/10.1177/0895904807312467</w:t>
      </w:r>
    </w:p>
    <w:p w14:paraId="3481C17F"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Cronk</w:t>
      </w:r>
      <w:proofErr w:type="spellEnd"/>
      <w:r w:rsidRPr="008157BA">
        <w:rPr>
          <w:rFonts w:ascii="Times New Roman" w:hAnsi="Times New Roman"/>
          <w:sz w:val="20"/>
          <w:szCs w:val="20"/>
        </w:rPr>
        <w:t xml:space="preserve">, B. C. (2010). </w:t>
      </w:r>
      <w:r w:rsidRPr="008157BA">
        <w:rPr>
          <w:rFonts w:ascii="Times New Roman" w:hAnsi="Times New Roman"/>
          <w:i/>
          <w:iCs/>
          <w:sz w:val="20"/>
          <w:szCs w:val="20"/>
        </w:rPr>
        <w:t xml:space="preserve">How to use PASW statistics: </w:t>
      </w:r>
      <w:proofErr w:type="gramStart"/>
      <w:r w:rsidRPr="008157BA">
        <w:rPr>
          <w:rFonts w:ascii="Times New Roman" w:hAnsi="Times New Roman"/>
          <w:i/>
          <w:iCs/>
          <w:sz w:val="20"/>
          <w:szCs w:val="20"/>
        </w:rPr>
        <w:t>A step-by-step</w:t>
      </w:r>
      <w:proofErr w:type="gramEnd"/>
      <w:r w:rsidRPr="008157BA">
        <w:rPr>
          <w:rFonts w:ascii="Times New Roman" w:hAnsi="Times New Roman"/>
          <w:i/>
          <w:iCs/>
          <w:sz w:val="20"/>
          <w:szCs w:val="20"/>
        </w:rPr>
        <w:t xml:space="preserve"> guide to analysis and interpretation </w:t>
      </w:r>
      <w:r w:rsidRPr="008157BA">
        <w:rPr>
          <w:rFonts w:ascii="Times New Roman" w:hAnsi="Times New Roman"/>
          <w:sz w:val="20"/>
          <w:szCs w:val="20"/>
        </w:rPr>
        <w:t xml:space="preserve">(6th ed.). </w:t>
      </w:r>
      <w:proofErr w:type="spellStart"/>
      <w:r w:rsidRPr="008157BA">
        <w:rPr>
          <w:rFonts w:ascii="Times New Roman" w:hAnsi="Times New Roman"/>
          <w:sz w:val="20"/>
          <w:szCs w:val="20"/>
        </w:rPr>
        <w:t>Pyrczak</w:t>
      </w:r>
      <w:proofErr w:type="spellEnd"/>
      <w:r w:rsidRPr="008157BA">
        <w:rPr>
          <w:rFonts w:ascii="Times New Roman" w:hAnsi="Times New Roman"/>
          <w:sz w:val="20"/>
          <w:szCs w:val="20"/>
        </w:rPr>
        <w:t xml:space="preserve"> Publishing.</w:t>
      </w:r>
    </w:p>
    <w:p w14:paraId="70E8E965"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Cupito</w:t>
      </w:r>
      <w:proofErr w:type="spellEnd"/>
      <w:r w:rsidRPr="008157BA">
        <w:rPr>
          <w:rFonts w:ascii="Times New Roman" w:hAnsi="Times New Roman"/>
          <w:sz w:val="20"/>
          <w:szCs w:val="20"/>
        </w:rPr>
        <w:t>, A. M., Stein, G. L., &amp; Gonzalez, L. M. (2015). Familial cultural values, depressive symptoms, school belonging and grades in Latino adolescents: Does gender matter?</w:t>
      </w:r>
    </w:p>
    <w:p w14:paraId="324EB3BD" w14:textId="77777777" w:rsidR="008157BA" w:rsidRPr="008157BA" w:rsidRDefault="008157BA" w:rsidP="008157BA">
      <w:pPr>
        <w:pStyle w:val="AralkYok"/>
        <w:widowControl w:val="0"/>
        <w:suppressAutoHyphens/>
        <w:spacing w:line="360" w:lineRule="auto"/>
        <w:ind w:left="720"/>
        <w:jc w:val="both"/>
        <w:rPr>
          <w:rFonts w:ascii="Times New Roman" w:hAnsi="Times New Roman"/>
          <w:sz w:val="20"/>
          <w:szCs w:val="20"/>
        </w:rPr>
      </w:pPr>
      <w:r w:rsidRPr="008157BA">
        <w:rPr>
          <w:rFonts w:ascii="Times New Roman" w:hAnsi="Times New Roman"/>
          <w:i/>
          <w:sz w:val="20"/>
          <w:szCs w:val="20"/>
        </w:rPr>
        <w:t>Journal of Child and Family Studies, 24</w:t>
      </w:r>
      <w:r w:rsidRPr="008157BA">
        <w:rPr>
          <w:rFonts w:ascii="Times New Roman" w:hAnsi="Times New Roman"/>
          <w:sz w:val="20"/>
          <w:szCs w:val="20"/>
        </w:rPr>
        <w:t>, 1638-1649. https://doi.org/10.1007/s10826-014-9967-7</w:t>
      </w:r>
    </w:p>
    <w:p w14:paraId="105230CE"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Davis, A. N., Carlo, G., </w:t>
      </w:r>
      <w:proofErr w:type="spellStart"/>
      <w:r w:rsidRPr="008157BA">
        <w:rPr>
          <w:rFonts w:ascii="Times New Roman" w:hAnsi="Times New Roman"/>
          <w:sz w:val="20"/>
          <w:szCs w:val="20"/>
        </w:rPr>
        <w:t>Streit</w:t>
      </w:r>
      <w:proofErr w:type="spellEnd"/>
      <w:r w:rsidRPr="008157BA">
        <w:rPr>
          <w:rFonts w:ascii="Times New Roman" w:hAnsi="Times New Roman"/>
          <w:sz w:val="20"/>
          <w:szCs w:val="20"/>
        </w:rPr>
        <w:t xml:space="preserve">, C., Schwartz, S. J., Unger, J. B., </w:t>
      </w:r>
      <w:proofErr w:type="spellStart"/>
      <w:r w:rsidRPr="008157BA">
        <w:rPr>
          <w:rFonts w:ascii="Times New Roman" w:hAnsi="Times New Roman"/>
          <w:sz w:val="20"/>
          <w:szCs w:val="20"/>
        </w:rPr>
        <w:t>Baezconde-Garbanati</w:t>
      </w:r>
      <w:proofErr w:type="spellEnd"/>
      <w:r w:rsidRPr="008157BA">
        <w:rPr>
          <w:rFonts w:ascii="Times New Roman" w:hAnsi="Times New Roman"/>
          <w:sz w:val="20"/>
          <w:szCs w:val="20"/>
        </w:rPr>
        <w:t xml:space="preserve">, L., &amp; </w:t>
      </w:r>
      <w:proofErr w:type="spellStart"/>
      <w:r w:rsidRPr="008157BA">
        <w:rPr>
          <w:rFonts w:ascii="Times New Roman" w:hAnsi="Times New Roman"/>
          <w:sz w:val="20"/>
          <w:szCs w:val="20"/>
        </w:rPr>
        <w:t>Szapocznik</w:t>
      </w:r>
      <w:proofErr w:type="spellEnd"/>
      <w:r w:rsidRPr="008157BA">
        <w:rPr>
          <w:rFonts w:ascii="Times New Roman" w:hAnsi="Times New Roman"/>
          <w:sz w:val="20"/>
          <w:szCs w:val="20"/>
        </w:rPr>
        <w:t xml:space="preserve">, J. (2018). Longitudinal associations between maternal involvement, cultural orientations, and prosocial behaviors among recent immigrant Latino adolescents. </w:t>
      </w:r>
      <w:r w:rsidRPr="008157BA">
        <w:rPr>
          <w:rFonts w:ascii="Times New Roman" w:hAnsi="Times New Roman"/>
          <w:i/>
          <w:sz w:val="20"/>
          <w:szCs w:val="20"/>
        </w:rPr>
        <w:t>Journal of Youth and Adolescence, 47</w:t>
      </w:r>
      <w:r w:rsidRPr="008157BA">
        <w:rPr>
          <w:rFonts w:ascii="Times New Roman" w:hAnsi="Times New Roman"/>
          <w:sz w:val="20"/>
          <w:szCs w:val="20"/>
        </w:rPr>
        <w:t xml:space="preserve">, 460-472. </w:t>
      </w:r>
      <w:hyperlink r:id="rId19" w:history="1">
        <w:r w:rsidRPr="008157BA">
          <w:rPr>
            <w:rStyle w:val="Kpr"/>
            <w:rFonts w:ascii="Times New Roman" w:hAnsi="Times New Roman"/>
            <w:color w:val="auto"/>
            <w:sz w:val="20"/>
            <w:szCs w:val="20"/>
            <w:u w:val="none"/>
          </w:rPr>
          <w:t>https://doi.org/10.1007/s10964-017-0792-3</w:t>
        </w:r>
      </w:hyperlink>
    </w:p>
    <w:p w14:paraId="3C270BD4" w14:textId="77777777" w:rsidR="008157BA" w:rsidRPr="008157BA" w:rsidRDefault="008157BA" w:rsidP="008157BA">
      <w:pPr>
        <w:pStyle w:val="AralkYok"/>
        <w:widowControl w:val="0"/>
        <w:suppressAutoHyphens/>
        <w:spacing w:line="360" w:lineRule="auto"/>
        <w:ind w:left="720" w:hanging="720"/>
        <w:jc w:val="both"/>
        <w:rPr>
          <w:rStyle w:val="Kpr"/>
          <w:rFonts w:ascii="Times New Roman" w:hAnsi="Times New Roman"/>
          <w:color w:val="auto"/>
          <w:sz w:val="20"/>
          <w:szCs w:val="20"/>
          <w:u w:val="none"/>
        </w:rPr>
      </w:pPr>
      <w:proofErr w:type="gramStart"/>
      <w:r w:rsidRPr="008157BA">
        <w:rPr>
          <w:rFonts w:ascii="Times New Roman" w:hAnsi="Times New Roman"/>
          <w:sz w:val="20"/>
          <w:szCs w:val="20"/>
        </w:rPr>
        <w:t>de</w:t>
      </w:r>
      <w:proofErr w:type="gramEnd"/>
      <w:r w:rsidRPr="008157BA">
        <w:rPr>
          <w:rFonts w:ascii="Times New Roman" w:hAnsi="Times New Roman"/>
          <w:sz w:val="20"/>
          <w:szCs w:val="20"/>
        </w:rPr>
        <w:t xml:space="preserve"> </w:t>
      </w:r>
      <w:proofErr w:type="spellStart"/>
      <w:r w:rsidRPr="008157BA">
        <w:rPr>
          <w:rFonts w:ascii="Times New Roman" w:hAnsi="Times New Roman"/>
          <w:sz w:val="20"/>
          <w:szCs w:val="20"/>
        </w:rPr>
        <w:t>Brey</w:t>
      </w:r>
      <w:proofErr w:type="spellEnd"/>
      <w:r w:rsidRPr="008157BA">
        <w:rPr>
          <w:rFonts w:ascii="Times New Roman" w:hAnsi="Times New Roman"/>
          <w:sz w:val="20"/>
          <w:szCs w:val="20"/>
        </w:rPr>
        <w:t xml:space="preserve">, C., </w:t>
      </w:r>
      <w:proofErr w:type="spellStart"/>
      <w:r w:rsidRPr="008157BA">
        <w:rPr>
          <w:rFonts w:ascii="Times New Roman" w:hAnsi="Times New Roman"/>
          <w:sz w:val="20"/>
          <w:szCs w:val="20"/>
        </w:rPr>
        <w:t>Musu</w:t>
      </w:r>
      <w:proofErr w:type="spellEnd"/>
      <w:r w:rsidRPr="008157BA">
        <w:rPr>
          <w:rFonts w:ascii="Times New Roman" w:hAnsi="Times New Roman"/>
          <w:sz w:val="20"/>
          <w:szCs w:val="20"/>
        </w:rPr>
        <w:t xml:space="preserve">, L., McFarland, J., Wilkinson-Flicker, S., </w:t>
      </w:r>
      <w:proofErr w:type="spellStart"/>
      <w:r w:rsidRPr="008157BA">
        <w:rPr>
          <w:rFonts w:ascii="Times New Roman" w:hAnsi="Times New Roman"/>
          <w:sz w:val="20"/>
          <w:szCs w:val="20"/>
        </w:rPr>
        <w:t>Diliberti</w:t>
      </w:r>
      <w:proofErr w:type="spellEnd"/>
      <w:r w:rsidRPr="008157BA">
        <w:rPr>
          <w:rFonts w:ascii="Times New Roman" w:hAnsi="Times New Roman"/>
          <w:sz w:val="20"/>
          <w:szCs w:val="20"/>
        </w:rPr>
        <w:t xml:space="preserve">, M., Zhang, A., </w:t>
      </w:r>
      <w:proofErr w:type="spellStart"/>
      <w:r w:rsidRPr="008157BA">
        <w:rPr>
          <w:rFonts w:ascii="Times New Roman" w:hAnsi="Times New Roman"/>
          <w:sz w:val="20"/>
          <w:szCs w:val="20"/>
        </w:rPr>
        <w:t>Branstetter</w:t>
      </w:r>
      <w:proofErr w:type="spellEnd"/>
      <w:r w:rsidRPr="008157BA">
        <w:rPr>
          <w:rFonts w:ascii="Times New Roman" w:hAnsi="Times New Roman"/>
          <w:sz w:val="20"/>
          <w:szCs w:val="20"/>
        </w:rPr>
        <w:t xml:space="preserve">, C., &amp; Wang, X. (2019). </w:t>
      </w:r>
      <w:r w:rsidRPr="008157BA">
        <w:rPr>
          <w:rFonts w:ascii="Times New Roman" w:hAnsi="Times New Roman"/>
          <w:i/>
          <w:sz w:val="20"/>
          <w:szCs w:val="20"/>
        </w:rPr>
        <w:t xml:space="preserve">Status and trends in the education of racial and ethnic groups 2018 </w:t>
      </w:r>
      <w:r w:rsidRPr="008157BA">
        <w:rPr>
          <w:rFonts w:ascii="Times New Roman" w:hAnsi="Times New Roman"/>
          <w:sz w:val="20"/>
          <w:szCs w:val="20"/>
        </w:rPr>
        <w:t xml:space="preserve">(NCES 2019-038). U.S. Department of Education, National Center for Education Statistics. </w:t>
      </w:r>
      <w:hyperlink r:id="rId20" w:history="1">
        <w:r w:rsidRPr="008157BA">
          <w:rPr>
            <w:rStyle w:val="Kpr"/>
            <w:rFonts w:ascii="Times New Roman" w:hAnsi="Times New Roman"/>
            <w:color w:val="auto"/>
            <w:sz w:val="20"/>
            <w:szCs w:val="20"/>
            <w:u w:val="none"/>
          </w:rPr>
          <w:t>https://nces.ed.gov/pubs2019/2019038.pdf</w:t>
        </w:r>
      </w:hyperlink>
    </w:p>
    <w:p w14:paraId="40FD984F" w14:textId="77777777" w:rsidR="008157BA" w:rsidRPr="008157BA" w:rsidRDefault="008157BA" w:rsidP="008157BA">
      <w:pPr>
        <w:pStyle w:val="AralkYok"/>
        <w:widowControl w:val="0"/>
        <w:suppressAutoHyphens/>
        <w:spacing w:line="360" w:lineRule="auto"/>
        <w:ind w:left="720" w:hanging="720"/>
        <w:jc w:val="both"/>
        <w:rPr>
          <w:rStyle w:val="Kpr"/>
          <w:rFonts w:ascii="Times New Roman" w:hAnsi="Times New Roman"/>
          <w:color w:val="auto"/>
          <w:sz w:val="20"/>
          <w:szCs w:val="20"/>
          <w:u w:val="none"/>
        </w:rPr>
      </w:pPr>
      <w:proofErr w:type="gramStart"/>
      <w:r w:rsidRPr="008157BA">
        <w:rPr>
          <w:rStyle w:val="Kpr"/>
          <w:rFonts w:ascii="Times New Roman" w:hAnsi="Times New Roman"/>
          <w:color w:val="auto"/>
          <w:sz w:val="20"/>
          <w:szCs w:val="20"/>
          <w:u w:val="none"/>
        </w:rPr>
        <w:t>de</w:t>
      </w:r>
      <w:proofErr w:type="gramEnd"/>
      <w:r w:rsidRPr="008157BA">
        <w:rPr>
          <w:rStyle w:val="Kpr"/>
          <w:rFonts w:ascii="Times New Roman" w:hAnsi="Times New Roman"/>
          <w:color w:val="auto"/>
          <w:sz w:val="20"/>
          <w:szCs w:val="20"/>
          <w:u w:val="none"/>
        </w:rPr>
        <w:t xml:space="preserve"> </w:t>
      </w:r>
      <w:proofErr w:type="spellStart"/>
      <w:r w:rsidRPr="008157BA">
        <w:rPr>
          <w:rStyle w:val="Kpr"/>
          <w:rFonts w:ascii="Times New Roman" w:hAnsi="Times New Roman"/>
          <w:color w:val="auto"/>
          <w:sz w:val="20"/>
          <w:szCs w:val="20"/>
          <w:u w:val="none"/>
        </w:rPr>
        <w:t>Brey</w:t>
      </w:r>
      <w:proofErr w:type="spellEnd"/>
      <w:r w:rsidRPr="008157BA">
        <w:rPr>
          <w:rStyle w:val="Kpr"/>
          <w:rFonts w:ascii="Times New Roman" w:hAnsi="Times New Roman"/>
          <w:color w:val="auto"/>
          <w:sz w:val="20"/>
          <w:szCs w:val="20"/>
          <w:u w:val="none"/>
        </w:rPr>
        <w:t xml:space="preserve">, C., Snyder, T. D., Zhang, A., &amp; </w:t>
      </w:r>
      <w:proofErr w:type="spellStart"/>
      <w:r w:rsidRPr="008157BA">
        <w:rPr>
          <w:rStyle w:val="Kpr"/>
          <w:rFonts w:ascii="Times New Roman" w:hAnsi="Times New Roman"/>
          <w:color w:val="auto"/>
          <w:sz w:val="20"/>
          <w:szCs w:val="20"/>
          <w:u w:val="none"/>
        </w:rPr>
        <w:t>Dillow</w:t>
      </w:r>
      <w:proofErr w:type="spellEnd"/>
      <w:r w:rsidRPr="008157BA">
        <w:rPr>
          <w:rStyle w:val="Kpr"/>
          <w:rFonts w:ascii="Times New Roman" w:hAnsi="Times New Roman"/>
          <w:color w:val="auto"/>
          <w:sz w:val="20"/>
          <w:szCs w:val="20"/>
          <w:u w:val="none"/>
        </w:rPr>
        <w:t xml:space="preserve">, A. (2021). </w:t>
      </w:r>
      <w:r w:rsidRPr="008157BA">
        <w:rPr>
          <w:rStyle w:val="Kpr"/>
          <w:rFonts w:ascii="Times New Roman" w:hAnsi="Times New Roman"/>
          <w:i/>
          <w:color w:val="auto"/>
          <w:sz w:val="20"/>
          <w:szCs w:val="20"/>
          <w:u w:val="none"/>
        </w:rPr>
        <w:t xml:space="preserve">Digest of education statistics 2019 </w:t>
      </w:r>
      <w:r w:rsidRPr="008157BA">
        <w:rPr>
          <w:rStyle w:val="Kpr"/>
          <w:rFonts w:ascii="Times New Roman" w:hAnsi="Times New Roman"/>
          <w:color w:val="auto"/>
          <w:sz w:val="20"/>
          <w:szCs w:val="20"/>
          <w:u w:val="none"/>
        </w:rPr>
        <w:t xml:space="preserve">(NCES 2021-009). U.S. Department of Education, National Center for Education Statistics. </w:t>
      </w:r>
      <w:hyperlink r:id="rId21" w:history="1">
        <w:r w:rsidRPr="008157BA">
          <w:rPr>
            <w:rStyle w:val="Kpr"/>
            <w:rFonts w:ascii="Times New Roman" w:hAnsi="Times New Roman"/>
            <w:color w:val="auto"/>
            <w:sz w:val="20"/>
            <w:szCs w:val="20"/>
            <w:u w:val="none"/>
          </w:rPr>
          <w:t>https://nces.ed.gov/pubs2021/2021009.pdf</w:t>
        </w:r>
      </w:hyperlink>
    </w:p>
    <w:p w14:paraId="5BC8F5CD" w14:textId="77777777" w:rsidR="008157BA" w:rsidRPr="008157BA" w:rsidRDefault="008157BA" w:rsidP="008157BA">
      <w:pPr>
        <w:widowControl w:val="0"/>
        <w:autoSpaceDE w:val="0"/>
        <w:autoSpaceDN w:val="0"/>
        <w:adjustRightInd w:val="0"/>
        <w:spacing w:line="360" w:lineRule="auto"/>
        <w:ind w:left="720" w:hanging="720"/>
        <w:rPr>
          <w:rStyle w:val="Kpr"/>
          <w:rFonts w:cs="Times New Roman"/>
          <w:color w:val="auto"/>
          <w:szCs w:val="20"/>
          <w:u w:val="none"/>
        </w:rPr>
      </w:pPr>
      <w:r w:rsidRPr="008157BA">
        <w:rPr>
          <w:rFonts w:eastAsia="TimesNewRomanPSMT" w:cs="Times New Roman"/>
          <w:szCs w:val="20"/>
        </w:rPr>
        <w:lastRenderedPageBreak/>
        <w:t xml:space="preserve">Foster, M., Lewis, J., &amp; </w:t>
      </w:r>
      <w:proofErr w:type="spellStart"/>
      <w:r w:rsidRPr="008157BA">
        <w:rPr>
          <w:rFonts w:eastAsia="TimesNewRomanPSMT" w:cs="Times New Roman"/>
          <w:szCs w:val="20"/>
        </w:rPr>
        <w:t>Onafowora</w:t>
      </w:r>
      <w:proofErr w:type="spellEnd"/>
      <w:r w:rsidRPr="008157BA">
        <w:rPr>
          <w:rFonts w:eastAsia="TimesNewRomanPSMT" w:cs="Times New Roman"/>
          <w:szCs w:val="20"/>
        </w:rPr>
        <w:t xml:space="preserve">, L. (2003). Anthropology, culture, and research on teaching and learning: Applying what we have learned to improve practice. </w:t>
      </w:r>
      <w:r w:rsidRPr="008157BA">
        <w:rPr>
          <w:rFonts w:eastAsia="TimesNewRomanPSMT" w:cs="Times New Roman"/>
          <w:i/>
          <w:iCs/>
          <w:szCs w:val="20"/>
        </w:rPr>
        <w:t>Teachers College Record</w:t>
      </w:r>
      <w:r w:rsidRPr="008157BA">
        <w:rPr>
          <w:rFonts w:eastAsia="TimesNewRomanPSMT" w:cs="Times New Roman"/>
          <w:szCs w:val="20"/>
        </w:rPr>
        <w:t xml:space="preserve">, </w:t>
      </w:r>
      <w:r w:rsidRPr="008157BA">
        <w:rPr>
          <w:rFonts w:eastAsia="TimesNewRomanPSMT" w:cs="Times New Roman"/>
          <w:i/>
          <w:iCs/>
          <w:szCs w:val="20"/>
        </w:rPr>
        <w:t>105</w:t>
      </w:r>
      <w:r w:rsidRPr="008157BA">
        <w:rPr>
          <w:rFonts w:eastAsia="TimesNewRomanPSMT" w:cs="Times New Roman"/>
          <w:szCs w:val="20"/>
        </w:rPr>
        <w:t>, 261-277.</w:t>
      </w:r>
    </w:p>
    <w:p w14:paraId="478A90EA"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Fu, R., </w:t>
      </w:r>
      <w:proofErr w:type="spellStart"/>
      <w:r w:rsidRPr="008157BA">
        <w:rPr>
          <w:rFonts w:ascii="Times New Roman" w:hAnsi="Times New Roman"/>
          <w:sz w:val="20"/>
          <w:szCs w:val="20"/>
        </w:rPr>
        <w:t>Waasdorp</w:t>
      </w:r>
      <w:proofErr w:type="spellEnd"/>
      <w:r w:rsidRPr="008157BA">
        <w:rPr>
          <w:rFonts w:ascii="Times New Roman" w:hAnsi="Times New Roman"/>
          <w:sz w:val="20"/>
          <w:szCs w:val="20"/>
        </w:rPr>
        <w:t xml:space="preserve">, T. E., Randolph, J. A., &amp; Bradshaw, C. P. (2021). Peer victimization and mental health problems: Racial-ethnic differences in the buffering role of academic performance. </w:t>
      </w:r>
      <w:r w:rsidRPr="008157BA">
        <w:rPr>
          <w:rFonts w:ascii="Times New Roman" w:hAnsi="Times New Roman"/>
          <w:i/>
          <w:sz w:val="20"/>
          <w:szCs w:val="20"/>
        </w:rPr>
        <w:t>Journal of Youth and Adolescence, 50</w:t>
      </w:r>
      <w:r w:rsidRPr="008157BA">
        <w:rPr>
          <w:rFonts w:ascii="Times New Roman" w:hAnsi="Times New Roman"/>
          <w:sz w:val="20"/>
          <w:szCs w:val="20"/>
        </w:rPr>
        <w:t>, 1839-1865. https://doi.org/10.1007/s10964-021-01483-3</w:t>
      </w:r>
    </w:p>
    <w:p w14:paraId="29E639E0" w14:textId="77777777" w:rsidR="008157BA" w:rsidRPr="008157BA" w:rsidRDefault="008157BA" w:rsidP="008157BA">
      <w:pPr>
        <w:widowControl w:val="0"/>
        <w:autoSpaceDE w:val="0"/>
        <w:autoSpaceDN w:val="0"/>
        <w:adjustRightInd w:val="0"/>
        <w:spacing w:line="360" w:lineRule="auto"/>
        <w:ind w:left="720" w:hanging="720"/>
        <w:rPr>
          <w:rStyle w:val="Kpr"/>
          <w:rFonts w:eastAsia="TimesNewRomanPSMT" w:cs="Times New Roman"/>
          <w:color w:val="auto"/>
          <w:szCs w:val="20"/>
          <w:u w:val="none"/>
        </w:rPr>
      </w:pPr>
      <w:r w:rsidRPr="008157BA">
        <w:rPr>
          <w:rFonts w:eastAsia="TimesNewRomanPSMT" w:cs="Times New Roman"/>
          <w:szCs w:val="20"/>
        </w:rPr>
        <w:t xml:space="preserve">Garson, D. (2008). </w:t>
      </w:r>
      <w:r w:rsidRPr="008157BA">
        <w:rPr>
          <w:rFonts w:eastAsia="TimesNewRomanPSMT" w:cs="Times New Roman"/>
          <w:i/>
          <w:iCs/>
          <w:szCs w:val="20"/>
        </w:rPr>
        <w:t>Logistic regression</w:t>
      </w:r>
      <w:r w:rsidRPr="008157BA">
        <w:rPr>
          <w:rFonts w:eastAsia="TimesNewRomanPSMT" w:cs="Times New Roman"/>
          <w:szCs w:val="20"/>
        </w:rPr>
        <w:t xml:space="preserve">. North Carolina State University. Retrieved from </w:t>
      </w:r>
      <w:hyperlink r:id="rId22" w:history="1">
        <w:r w:rsidRPr="008157BA">
          <w:rPr>
            <w:rStyle w:val="Kpr"/>
            <w:rFonts w:eastAsia="TimesNewRomanPSMT" w:cs="Times New Roman"/>
            <w:color w:val="auto"/>
            <w:szCs w:val="20"/>
            <w:u w:val="none"/>
          </w:rPr>
          <w:t>http://faculty.chass.ncsu.edu/garson/PA765/logistic.htm</w:t>
        </w:r>
      </w:hyperlink>
    </w:p>
    <w:p w14:paraId="00470A30"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Glass, G. V., &amp; </w:t>
      </w:r>
      <w:proofErr w:type="spellStart"/>
      <w:r w:rsidRPr="008157BA">
        <w:rPr>
          <w:rFonts w:eastAsia="TimesNewRomanPSMT" w:cs="Times New Roman"/>
          <w:szCs w:val="20"/>
        </w:rPr>
        <w:t>Rud</w:t>
      </w:r>
      <w:proofErr w:type="spellEnd"/>
      <w:r w:rsidRPr="008157BA">
        <w:rPr>
          <w:rFonts w:eastAsia="TimesNewRomanPSMT" w:cs="Times New Roman"/>
          <w:szCs w:val="20"/>
        </w:rPr>
        <w:t xml:space="preserve">, A. G. (2012). The struggle between individualism and communitarianism: The pressure of population, prejudice, and the purse. </w:t>
      </w:r>
      <w:r w:rsidRPr="008157BA">
        <w:rPr>
          <w:rFonts w:eastAsia="TimesNewRomanPSMT" w:cs="Times New Roman"/>
          <w:i/>
          <w:iCs/>
          <w:szCs w:val="20"/>
        </w:rPr>
        <w:t>Review of Research in Education</w:t>
      </w:r>
      <w:r w:rsidRPr="008157BA">
        <w:rPr>
          <w:rFonts w:eastAsia="TimesNewRomanPSMT" w:cs="Times New Roman"/>
          <w:szCs w:val="20"/>
        </w:rPr>
        <w:t xml:space="preserve">, </w:t>
      </w:r>
      <w:r w:rsidRPr="008157BA">
        <w:rPr>
          <w:rFonts w:eastAsia="TimesNewRomanPSMT" w:cs="Times New Roman"/>
          <w:i/>
          <w:iCs/>
          <w:szCs w:val="20"/>
        </w:rPr>
        <w:t>36</w:t>
      </w:r>
      <w:r w:rsidRPr="008157BA">
        <w:rPr>
          <w:rFonts w:eastAsia="TimesNewRomanPSMT" w:cs="Times New Roman"/>
          <w:szCs w:val="20"/>
        </w:rPr>
        <w:t xml:space="preserve">, 95-112. </w:t>
      </w:r>
      <w:r w:rsidRPr="008157BA">
        <w:rPr>
          <w:rFonts w:cs="Times New Roman"/>
          <w:szCs w:val="20"/>
        </w:rPr>
        <w:t>https://doi.org/</w:t>
      </w:r>
      <w:r w:rsidRPr="008157BA">
        <w:rPr>
          <w:rFonts w:eastAsia="TimesNewRomanPSMT" w:cs="Times New Roman"/>
          <w:szCs w:val="20"/>
        </w:rPr>
        <w:t>10.3102/0091732X11422863</w:t>
      </w:r>
    </w:p>
    <w:p w14:paraId="405E95AD"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Gonzalez, K. P., Stoner, C., &amp; </w:t>
      </w:r>
      <w:proofErr w:type="spellStart"/>
      <w:r w:rsidRPr="008157BA">
        <w:rPr>
          <w:rFonts w:eastAsia="TimesNewRomanPSMT" w:cs="Times New Roman"/>
          <w:szCs w:val="20"/>
        </w:rPr>
        <w:t>Jovel</w:t>
      </w:r>
      <w:proofErr w:type="spellEnd"/>
      <w:r w:rsidRPr="008157BA">
        <w:rPr>
          <w:rFonts w:eastAsia="TimesNewRomanPSMT" w:cs="Times New Roman"/>
          <w:szCs w:val="20"/>
        </w:rPr>
        <w:t xml:space="preserve">, J. E. (2003). Examining the role of social capital in access to college for Latinas: Toward a college opportunity framework. </w:t>
      </w:r>
      <w:r w:rsidRPr="008157BA">
        <w:rPr>
          <w:rFonts w:eastAsia="TimesNewRomanPSMT" w:cs="Times New Roman"/>
          <w:i/>
          <w:iCs/>
          <w:szCs w:val="20"/>
        </w:rPr>
        <w:t>Journal of Hispanic Higher Education</w:t>
      </w:r>
      <w:r w:rsidRPr="008157BA">
        <w:rPr>
          <w:rFonts w:eastAsia="TimesNewRomanPSMT" w:cs="Times New Roman"/>
          <w:szCs w:val="20"/>
        </w:rPr>
        <w:t xml:space="preserve">, </w:t>
      </w:r>
      <w:r w:rsidRPr="008157BA">
        <w:rPr>
          <w:rFonts w:eastAsia="TimesNewRomanPSMT" w:cs="Times New Roman"/>
          <w:i/>
          <w:iCs/>
          <w:szCs w:val="20"/>
        </w:rPr>
        <w:t>2</w:t>
      </w:r>
      <w:r w:rsidRPr="008157BA">
        <w:rPr>
          <w:rFonts w:eastAsia="TimesNewRomanPSMT" w:cs="Times New Roman"/>
          <w:szCs w:val="20"/>
        </w:rPr>
        <w:t xml:space="preserve">, 146-170. </w:t>
      </w:r>
      <w:hyperlink r:id="rId23" w:history="1">
        <w:r w:rsidRPr="008157BA">
          <w:rPr>
            <w:rStyle w:val="Kpr"/>
            <w:rFonts w:cs="Times New Roman"/>
            <w:color w:val="auto"/>
            <w:szCs w:val="20"/>
            <w:u w:val="none"/>
          </w:rPr>
          <w:t>https://doi.org/</w:t>
        </w:r>
        <w:r w:rsidRPr="008157BA">
          <w:rPr>
            <w:rStyle w:val="Kpr"/>
            <w:rFonts w:eastAsia="TimesNewRomanPSMT" w:cs="Times New Roman"/>
            <w:color w:val="auto"/>
            <w:szCs w:val="20"/>
            <w:u w:val="none"/>
          </w:rPr>
          <w:t>10.1177/1538192702250620</w:t>
        </w:r>
      </w:hyperlink>
    </w:p>
    <w:p w14:paraId="07A0D735"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González-</w:t>
      </w:r>
      <w:proofErr w:type="spellStart"/>
      <w:r w:rsidRPr="008157BA">
        <w:rPr>
          <w:rFonts w:eastAsia="TimesNewRomanPSMT" w:cs="Times New Roman"/>
          <w:szCs w:val="20"/>
        </w:rPr>
        <w:t>Prendes</w:t>
      </w:r>
      <w:proofErr w:type="spellEnd"/>
      <w:r w:rsidRPr="008157BA">
        <w:rPr>
          <w:rFonts w:eastAsia="TimesNewRomanPSMT" w:cs="Times New Roman"/>
          <w:szCs w:val="20"/>
        </w:rPr>
        <w:t xml:space="preserve">, A. A., </w:t>
      </w:r>
      <w:proofErr w:type="spellStart"/>
      <w:r w:rsidRPr="008157BA">
        <w:rPr>
          <w:rFonts w:eastAsia="TimesNewRomanPSMT" w:cs="Times New Roman"/>
          <w:szCs w:val="20"/>
        </w:rPr>
        <w:t>Hindo</w:t>
      </w:r>
      <w:proofErr w:type="spellEnd"/>
      <w:r w:rsidRPr="008157BA">
        <w:rPr>
          <w:rFonts w:eastAsia="TimesNewRomanPSMT" w:cs="Times New Roman"/>
          <w:szCs w:val="20"/>
        </w:rPr>
        <w:t xml:space="preserve">, C., &amp; Pardo, Y. (2011). Cultural values integration in cognitive-behavioral therapy for a Latino with depression. </w:t>
      </w:r>
      <w:r w:rsidRPr="008157BA">
        <w:rPr>
          <w:rFonts w:eastAsia="TimesNewRomanPSMT" w:cs="Times New Roman"/>
          <w:i/>
          <w:iCs/>
          <w:szCs w:val="20"/>
        </w:rPr>
        <w:t>Clinical Case Studies</w:t>
      </w:r>
      <w:r w:rsidRPr="008157BA">
        <w:rPr>
          <w:rFonts w:eastAsia="TimesNewRomanPSMT" w:cs="Times New Roman"/>
          <w:szCs w:val="20"/>
        </w:rPr>
        <w:t xml:space="preserve">, </w:t>
      </w:r>
      <w:r w:rsidRPr="008157BA">
        <w:rPr>
          <w:rFonts w:eastAsia="TimesNewRomanPSMT" w:cs="Times New Roman"/>
          <w:i/>
          <w:iCs/>
          <w:szCs w:val="20"/>
        </w:rPr>
        <w:t>10</w:t>
      </w:r>
      <w:r w:rsidRPr="008157BA">
        <w:rPr>
          <w:rFonts w:eastAsia="TimesNewRomanPSMT" w:cs="Times New Roman"/>
          <w:szCs w:val="20"/>
        </w:rPr>
        <w:t>, 376-394. https://doi.org/10.1177/1534650111427075</w:t>
      </w:r>
    </w:p>
    <w:p w14:paraId="406CC773"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Greenfield, P. M., Flores, A., Davis, H., &amp; </w:t>
      </w:r>
      <w:proofErr w:type="spellStart"/>
      <w:r w:rsidRPr="008157BA">
        <w:rPr>
          <w:rFonts w:eastAsia="TimesNewRomanPSMT" w:cs="Times New Roman"/>
          <w:szCs w:val="20"/>
        </w:rPr>
        <w:t>Salimkhan</w:t>
      </w:r>
      <w:proofErr w:type="spellEnd"/>
      <w:r w:rsidRPr="008157BA">
        <w:rPr>
          <w:rFonts w:eastAsia="TimesNewRomanPSMT" w:cs="Times New Roman"/>
          <w:szCs w:val="20"/>
        </w:rPr>
        <w:t xml:space="preserve">, G. (2008). What happens when parents and nannies come from different cultures? Comparing the caregiving belief systems of nannies and their employers. </w:t>
      </w:r>
      <w:r w:rsidRPr="008157BA">
        <w:rPr>
          <w:rFonts w:eastAsia="TimesNewRomanPSMT" w:cs="Times New Roman"/>
          <w:i/>
          <w:iCs/>
          <w:szCs w:val="20"/>
        </w:rPr>
        <w:t>Journal of Applied Developmental Psychology</w:t>
      </w:r>
      <w:r w:rsidRPr="008157BA">
        <w:rPr>
          <w:rFonts w:eastAsia="TimesNewRomanPSMT" w:cs="Times New Roman"/>
          <w:szCs w:val="20"/>
        </w:rPr>
        <w:t xml:space="preserve">, </w:t>
      </w:r>
      <w:r w:rsidRPr="008157BA">
        <w:rPr>
          <w:rFonts w:eastAsia="TimesNewRomanPSMT" w:cs="Times New Roman"/>
          <w:i/>
          <w:iCs/>
          <w:szCs w:val="20"/>
        </w:rPr>
        <w:t>29</w:t>
      </w:r>
      <w:r w:rsidRPr="008157BA">
        <w:rPr>
          <w:rFonts w:eastAsia="TimesNewRomanPSMT" w:cs="Times New Roman"/>
          <w:szCs w:val="20"/>
        </w:rPr>
        <w:t xml:space="preserve">, 326-336. </w:t>
      </w:r>
      <w:r w:rsidRPr="008157BA">
        <w:rPr>
          <w:rFonts w:cs="Times New Roman"/>
          <w:szCs w:val="20"/>
        </w:rPr>
        <w:t>https://doi.org/</w:t>
      </w:r>
      <w:r w:rsidRPr="008157BA">
        <w:rPr>
          <w:rFonts w:eastAsia="TimesNewRomanPSMT" w:cs="Times New Roman"/>
          <w:szCs w:val="20"/>
        </w:rPr>
        <w:t>10.1016/j.appdev.2008.04.002</w:t>
      </w:r>
    </w:p>
    <w:p w14:paraId="282C4D49"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Greenfield, P. M., Keller, H., </w:t>
      </w:r>
      <w:proofErr w:type="spellStart"/>
      <w:r w:rsidRPr="008157BA">
        <w:rPr>
          <w:rFonts w:eastAsia="TimesNewRomanPSMT" w:cs="Times New Roman"/>
          <w:szCs w:val="20"/>
        </w:rPr>
        <w:t>Fuligni</w:t>
      </w:r>
      <w:proofErr w:type="spellEnd"/>
      <w:r w:rsidRPr="008157BA">
        <w:rPr>
          <w:rFonts w:eastAsia="TimesNewRomanPSMT" w:cs="Times New Roman"/>
          <w:szCs w:val="20"/>
        </w:rPr>
        <w:t xml:space="preserve">, A., &amp; Maynard, A. (2003). Cultural pathways through universal development. </w:t>
      </w:r>
      <w:r w:rsidRPr="008157BA">
        <w:rPr>
          <w:rFonts w:eastAsia="TimesNewRomanPSMT" w:cs="Times New Roman"/>
          <w:i/>
          <w:iCs/>
          <w:szCs w:val="20"/>
        </w:rPr>
        <w:t>Annual Review of Psychology</w:t>
      </w:r>
      <w:r w:rsidRPr="008157BA">
        <w:rPr>
          <w:rFonts w:eastAsia="TimesNewRomanPSMT" w:cs="Times New Roman"/>
          <w:szCs w:val="20"/>
        </w:rPr>
        <w:t xml:space="preserve">, </w:t>
      </w:r>
      <w:r w:rsidRPr="008157BA">
        <w:rPr>
          <w:rFonts w:eastAsia="TimesNewRomanPSMT" w:cs="Times New Roman"/>
          <w:i/>
          <w:iCs/>
          <w:szCs w:val="20"/>
        </w:rPr>
        <w:t>54</w:t>
      </w:r>
      <w:r w:rsidRPr="008157BA">
        <w:rPr>
          <w:rFonts w:eastAsia="TimesNewRomanPSMT" w:cs="Times New Roman"/>
          <w:szCs w:val="20"/>
        </w:rPr>
        <w:t xml:space="preserve">, 461-490. </w:t>
      </w:r>
      <w:r w:rsidRPr="008157BA">
        <w:rPr>
          <w:rFonts w:cs="Times New Roman"/>
          <w:szCs w:val="20"/>
        </w:rPr>
        <w:t>https://doi.org/</w:t>
      </w:r>
      <w:r w:rsidRPr="008157BA">
        <w:rPr>
          <w:rFonts w:eastAsia="TimesNewRomanPSMT" w:cs="Times New Roman"/>
          <w:szCs w:val="20"/>
        </w:rPr>
        <w:t>10.1146/annurev.psych.54.101601.145221</w:t>
      </w:r>
    </w:p>
    <w:p w14:paraId="469DC070"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Greenfield, P. M., &amp; Quiroz, B. (2013). Context and culture in the socialization and development of personal achievement values: Comparing Latino immigrant families, European American families, and elementary school teachers. </w:t>
      </w:r>
      <w:r w:rsidRPr="008157BA">
        <w:rPr>
          <w:rFonts w:eastAsia="TimesNewRomanPSMT" w:cs="Times New Roman"/>
          <w:i/>
          <w:iCs/>
          <w:szCs w:val="20"/>
        </w:rPr>
        <w:t>Journal of Applied Developmental Psychology</w:t>
      </w:r>
      <w:r w:rsidRPr="008157BA">
        <w:rPr>
          <w:rFonts w:eastAsia="TimesNewRomanPSMT" w:cs="Times New Roman"/>
          <w:szCs w:val="20"/>
        </w:rPr>
        <w:t xml:space="preserve">, </w:t>
      </w:r>
      <w:r w:rsidRPr="008157BA">
        <w:rPr>
          <w:rFonts w:eastAsia="TimesNewRomanPSMT" w:cs="Times New Roman"/>
          <w:i/>
          <w:iCs/>
          <w:szCs w:val="20"/>
        </w:rPr>
        <w:t>34</w:t>
      </w:r>
      <w:r w:rsidRPr="008157BA">
        <w:rPr>
          <w:rFonts w:eastAsia="TimesNewRomanPSMT" w:cs="Times New Roman"/>
          <w:szCs w:val="20"/>
        </w:rPr>
        <w:t xml:space="preserve">, 108-118. </w:t>
      </w:r>
      <w:r w:rsidRPr="008157BA">
        <w:rPr>
          <w:rFonts w:cs="Times New Roman"/>
          <w:szCs w:val="20"/>
        </w:rPr>
        <w:t>https://doi.org/</w:t>
      </w:r>
      <w:r w:rsidRPr="008157BA">
        <w:rPr>
          <w:rFonts w:eastAsia="TimesNewRomanPSMT" w:cs="Times New Roman"/>
          <w:szCs w:val="20"/>
        </w:rPr>
        <w:t>10.1016/j.appdev.2012.11.002</w:t>
      </w:r>
    </w:p>
    <w:p w14:paraId="2CEC5724"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Irwin, V., Zhang, J., Wang, X., Hein, S., Wang, K., Roberts, A., York, C., </w:t>
      </w:r>
      <w:proofErr w:type="spellStart"/>
      <w:r w:rsidRPr="008157BA">
        <w:rPr>
          <w:rFonts w:ascii="Times New Roman" w:hAnsi="Times New Roman"/>
          <w:sz w:val="20"/>
          <w:szCs w:val="20"/>
        </w:rPr>
        <w:t>Barmer</w:t>
      </w:r>
      <w:proofErr w:type="spellEnd"/>
      <w:r w:rsidRPr="008157BA">
        <w:rPr>
          <w:rFonts w:ascii="Times New Roman" w:hAnsi="Times New Roman"/>
          <w:sz w:val="20"/>
          <w:szCs w:val="20"/>
        </w:rPr>
        <w:t xml:space="preserve">, A., Bullock Mann, F., </w:t>
      </w:r>
      <w:proofErr w:type="spellStart"/>
      <w:r w:rsidRPr="008157BA">
        <w:rPr>
          <w:rFonts w:ascii="Times New Roman" w:hAnsi="Times New Roman"/>
          <w:sz w:val="20"/>
          <w:szCs w:val="20"/>
        </w:rPr>
        <w:t>Dilig</w:t>
      </w:r>
      <w:proofErr w:type="spellEnd"/>
      <w:r w:rsidRPr="008157BA">
        <w:rPr>
          <w:rFonts w:ascii="Times New Roman" w:hAnsi="Times New Roman"/>
          <w:sz w:val="20"/>
          <w:szCs w:val="20"/>
        </w:rPr>
        <w:t xml:space="preserve">, R., and Parker, S. (2021). </w:t>
      </w:r>
      <w:r w:rsidRPr="008157BA">
        <w:rPr>
          <w:rFonts w:ascii="Times New Roman" w:hAnsi="Times New Roman"/>
          <w:i/>
          <w:sz w:val="20"/>
          <w:szCs w:val="20"/>
        </w:rPr>
        <w:t>Condition of Education 2021</w:t>
      </w:r>
      <w:r w:rsidRPr="008157BA">
        <w:rPr>
          <w:rFonts w:ascii="Times New Roman" w:hAnsi="Times New Roman"/>
          <w:sz w:val="20"/>
          <w:szCs w:val="20"/>
        </w:rPr>
        <w:t xml:space="preserve"> (NCES 2021-144). U.S. Department of Education, National Center for Education Statistics. https://nces.ed.gov/pubsearch/pubsinfo.asp?pubid=2021144</w:t>
      </w:r>
    </w:p>
    <w:p w14:paraId="01D7BA60" w14:textId="77777777" w:rsidR="008157BA" w:rsidRPr="008157BA" w:rsidRDefault="008157BA" w:rsidP="008157BA">
      <w:pPr>
        <w:widowControl w:val="0"/>
        <w:spacing w:line="360" w:lineRule="auto"/>
        <w:ind w:left="720" w:hanging="720"/>
        <w:rPr>
          <w:rFonts w:cs="Times New Roman"/>
          <w:szCs w:val="20"/>
        </w:rPr>
      </w:pPr>
      <w:r w:rsidRPr="008157BA">
        <w:rPr>
          <w:rFonts w:cs="Times New Roman"/>
          <w:szCs w:val="20"/>
        </w:rPr>
        <w:t xml:space="preserve">Jackson, C. K. (2014). Do college-preparatory programs improve long-term outcomes? </w:t>
      </w:r>
      <w:r w:rsidRPr="008157BA">
        <w:rPr>
          <w:rFonts w:cs="Times New Roman"/>
          <w:i/>
          <w:szCs w:val="20"/>
        </w:rPr>
        <w:t>Economic Inquiry, 52</w:t>
      </w:r>
      <w:r w:rsidRPr="008157BA">
        <w:rPr>
          <w:rFonts w:cs="Times New Roman"/>
          <w:szCs w:val="20"/>
        </w:rPr>
        <w:t>(1), 72-99. https://doi.org/10.1111/ecin.12040</w:t>
      </w:r>
    </w:p>
    <w:p w14:paraId="4C15B47D"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Kearney, J. F., Fletcher, M., &amp; </w:t>
      </w:r>
      <w:proofErr w:type="spellStart"/>
      <w:r w:rsidRPr="008157BA">
        <w:rPr>
          <w:rFonts w:ascii="Times New Roman" w:hAnsi="Times New Roman"/>
          <w:sz w:val="20"/>
          <w:szCs w:val="20"/>
        </w:rPr>
        <w:t>Dobrenov</w:t>
      </w:r>
      <w:proofErr w:type="spellEnd"/>
      <w:r w:rsidRPr="008157BA">
        <w:rPr>
          <w:rFonts w:ascii="Times New Roman" w:hAnsi="Times New Roman"/>
          <w:sz w:val="20"/>
          <w:szCs w:val="20"/>
        </w:rPr>
        <w:t xml:space="preserve">-Major, M. (2011). Nonaligned worlds of home and school: A case study of second-generation Samoan children. </w:t>
      </w:r>
      <w:r w:rsidRPr="008157BA">
        <w:rPr>
          <w:rFonts w:ascii="Times New Roman" w:hAnsi="Times New Roman"/>
          <w:i/>
          <w:sz w:val="20"/>
          <w:szCs w:val="20"/>
        </w:rPr>
        <w:t>Journal of Family Studies, 17</w:t>
      </w:r>
      <w:r w:rsidRPr="008157BA">
        <w:rPr>
          <w:rFonts w:ascii="Times New Roman" w:hAnsi="Times New Roman"/>
          <w:sz w:val="20"/>
          <w:szCs w:val="20"/>
        </w:rPr>
        <w:t>(2), 146-156.</w:t>
      </w:r>
    </w:p>
    <w:p w14:paraId="77BA016A"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Kim, Y. M., </w:t>
      </w:r>
      <w:proofErr w:type="spellStart"/>
      <w:r w:rsidRPr="008157BA">
        <w:rPr>
          <w:rFonts w:ascii="Times New Roman" w:hAnsi="Times New Roman"/>
          <w:sz w:val="20"/>
          <w:szCs w:val="20"/>
        </w:rPr>
        <w:t>Newhill</w:t>
      </w:r>
      <w:proofErr w:type="spellEnd"/>
      <w:r w:rsidRPr="008157BA">
        <w:rPr>
          <w:rFonts w:ascii="Times New Roman" w:hAnsi="Times New Roman"/>
          <w:sz w:val="20"/>
          <w:szCs w:val="20"/>
        </w:rPr>
        <w:t xml:space="preserve">, C., &amp; </w:t>
      </w:r>
      <w:proofErr w:type="spellStart"/>
      <w:r w:rsidRPr="008157BA">
        <w:rPr>
          <w:rFonts w:ascii="Times New Roman" w:hAnsi="Times New Roman"/>
          <w:sz w:val="20"/>
          <w:szCs w:val="20"/>
        </w:rPr>
        <w:t>López</w:t>
      </w:r>
      <w:proofErr w:type="spellEnd"/>
      <w:r w:rsidRPr="008157BA">
        <w:rPr>
          <w:rFonts w:ascii="Times New Roman" w:hAnsi="Times New Roman"/>
          <w:sz w:val="20"/>
          <w:szCs w:val="20"/>
        </w:rPr>
        <w:t xml:space="preserve">, F. (2013). Latino acculturation and perceived educational achievement: Evidence for a </w:t>
      </w:r>
      <w:proofErr w:type="spellStart"/>
      <w:r w:rsidRPr="008157BA">
        <w:rPr>
          <w:rFonts w:ascii="Times New Roman" w:hAnsi="Times New Roman"/>
          <w:sz w:val="20"/>
          <w:szCs w:val="20"/>
        </w:rPr>
        <w:t>bidimensional</w:t>
      </w:r>
      <w:proofErr w:type="spellEnd"/>
      <w:r w:rsidRPr="008157BA">
        <w:rPr>
          <w:rFonts w:ascii="Times New Roman" w:hAnsi="Times New Roman"/>
          <w:sz w:val="20"/>
          <w:szCs w:val="20"/>
        </w:rPr>
        <w:t xml:space="preserve"> model of acculturation among Mexican-American children. </w:t>
      </w:r>
      <w:r w:rsidRPr="008157BA">
        <w:rPr>
          <w:rFonts w:ascii="Times New Roman" w:hAnsi="Times New Roman"/>
          <w:i/>
          <w:sz w:val="20"/>
          <w:szCs w:val="20"/>
        </w:rPr>
        <w:t>Journal of Human Behavior in the Social Environment, 23</w:t>
      </w:r>
      <w:r w:rsidRPr="008157BA">
        <w:rPr>
          <w:rFonts w:ascii="Times New Roman" w:hAnsi="Times New Roman"/>
          <w:sz w:val="20"/>
          <w:szCs w:val="20"/>
        </w:rPr>
        <w:t>, 37-52. https://doi.org/10.1080/10911359.2012.739531</w:t>
      </w:r>
    </w:p>
    <w:p w14:paraId="35D546D4"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Ladson-Billings, G. (1995). Toward a theory of culturally relevant pedagogy. </w:t>
      </w:r>
      <w:r w:rsidRPr="008157BA">
        <w:rPr>
          <w:rFonts w:eastAsia="TimesNewRomanPSMT" w:cs="Times New Roman"/>
          <w:i/>
          <w:iCs/>
          <w:szCs w:val="20"/>
        </w:rPr>
        <w:t>American Educational Research Journal</w:t>
      </w:r>
      <w:r w:rsidRPr="008157BA">
        <w:rPr>
          <w:rFonts w:eastAsia="TimesNewRomanPSMT" w:cs="Times New Roman"/>
          <w:szCs w:val="20"/>
        </w:rPr>
        <w:t xml:space="preserve">, </w:t>
      </w:r>
      <w:r w:rsidRPr="008157BA">
        <w:rPr>
          <w:rFonts w:eastAsia="TimesNewRomanPSMT" w:cs="Times New Roman"/>
          <w:i/>
          <w:iCs/>
          <w:szCs w:val="20"/>
        </w:rPr>
        <w:t>32</w:t>
      </w:r>
      <w:r w:rsidRPr="008157BA">
        <w:rPr>
          <w:rFonts w:eastAsia="TimesNewRomanPSMT" w:cs="Times New Roman"/>
          <w:szCs w:val="20"/>
        </w:rPr>
        <w:t>, 465-491.</w:t>
      </w:r>
    </w:p>
    <w:p w14:paraId="520B0EA7"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La Roche, M. J., &amp; </w:t>
      </w:r>
      <w:proofErr w:type="spellStart"/>
      <w:r w:rsidRPr="008157BA">
        <w:rPr>
          <w:rFonts w:eastAsia="TimesNewRomanPSMT" w:cs="Times New Roman"/>
          <w:szCs w:val="20"/>
        </w:rPr>
        <w:t>Shriberg</w:t>
      </w:r>
      <w:proofErr w:type="spellEnd"/>
      <w:r w:rsidRPr="008157BA">
        <w:rPr>
          <w:rFonts w:eastAsia="TimesNewRomanPSMT" w:cs="Times New Roman"/>
          <w:szCs w:val="20"/>
        </w:rPr>
        <w:t xml:space="preserve">, D. (2004). High stakes exams and Latino students: Toward a culturally sensitive </w:t>
      </w:r>
      <w:r w:rsidRPr="008157BA">
        <w:rPr>
          <w:rFonts w:eastAsia="TimesNewRomanPSMT" w:cs="Times New Roman"/>
          <w:szCs w:val="20"/>
        </w:rPr>
        <w:lastRenderedPageBreak/>
        <w:t xml:space="preserve">education for Latino children in the United States. </w:t>
      </w:r>
      <w:r w:rsidRPr="008157BA">
        <w:rPr>
          <w:rFonts w:eastAsia="TimesNewRomanPSMT" w:cs="Times New Roman"/>
          <w:i/>
          <w:iCs/>
          <w:szCs w:val="20"/>
        </w:rPr>
        <w:t>Journal of Educational and Psychological Consultation</w:t>
      </w:r>
      <w:r w:rsidRPr="008157BA">
        <w:rPr>
          <w:rFonts w:eastAsia="TimesNewRomanPSMT" w:cs="Times New Roman"/>
          <w:szCs w:val="20"/>
        </w:rPr>
        <w:t xml:space="preserve">, </w:t>
      </w:r>
      <w:r w:rsidRPr="008157BA">
        <w:rPr>
          <w:rFonts w:eastAsia="TimesNewRomanPSMT" w:cs="Times New Roman"/>
          <w:i/>
          <w:iCs/>
          <w:szCs w:val="20"/>
        </w:rPr>
        <w:t>15</w:t>
      </w:r>
      <w:r w:rsidRPr="008157BA">
        <w:rPr>
          <w:rFonts w:eastAsia="TimesNewRomanPSMT" w:cs="Times New Roman"/>
          <w:szCs w:val="20"/>
        </w:rPr>
        <w:t>, 205-223.</w:t>
      </w:r>
    </w:p>
    <w:p w14:paraId="0D3DFC21"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Lopez, S. G., Garza, R. T., &amp; Gonzalez-Blanks, A. G. (2012). Preventing smoking among Hispanic preadolescents: Program orientation, participant individualism-collectivism, and acculturation. </w:t>
      </w:r>
      <w:r w:rsidRPr="008157BA">
        <w:rPr>
          <w:rFonts w:eastAsia="TimesNewRomanPSMT" w:cs="Times New Roman"/>
          <w:i/>
          <w:iCs/>
          <w:szCs w:val="20"/>
        </w:rPr>
        <w:t>Hispanic Journal of Behavioral Sciences</w:t>
      </w:r>
      <w:r w:rsidRPr="008157BA">
        <w:rPr>
          <w:rFonts w:eastAsia="TimesNewRomanPSMT" w:cs="Times New Roman"/>
          <w:szCs w:val="20"/>
        </w:rPr>
        <w:t xml:space="preserve">, </w:t>
      </w:r>
      <w:r w:rsidRPr="008157BA">
        <w:rPr>
          <w:rFonts w:eastAsia="TimesNewRomanPSMT" w:cs="Times New Roman"/>
          <w:i/>
          <w:iCs/>
          <w:szCs w:val="20"/>
        </w:rPr>
        <w:t>34</w:t>
      </w:r>
      <w:r w:rsidRPr="008157BA">
        <w:rPr>
          <w:rFonts w:eastAsia="TimesNewRomanPSMT" w:cs="Times New Roman"/>
          <w:szCs w:val="20"/>
        </w:rPr>
        <w:t xml:space="preserve">, 323-339. </w:t>
      </w:r>
      <w:r w:rsidRPr="008157BA">
        <w:rPr>
          <w:rFonts w:cs="Times New Roman"/>
          <w:szCs w:val="20"/>
        </w:rPr>
        <w:t>https://doi.org/</w:t>
      </w:r>
      <w:r w:rsidRPr="008157BA">
        <w:rPr>
          <w:rFonts w:eastAsia="TimesNewRomanPSMT" w:cs="Times New Roman"/>
          <w:szCs w:val="20"/>
        </w:rPr>
        <w:t>10.1177/0739986311435901</w:t>
      </w:r>
    </w:p>
    <w:p w14:paraId="1DFE4134"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Lui</w:t>
      </w:r>
      <w:proofErr w:type="spellEnd"/>
      <w:r w:rsidRPr="008157BA">
        <w:rPr>
          <w:rFonts w:ascii="Times New Roman" w:hAnsi="Times New Roman"/>
          <w:sz w:val="20"/>
          <w:szCs w:val="20"/>
        </w:rPr>
        <w:t>, P. P. (2015). Intergenerational cultural conflict, mental health, and educational outcomes among Asian and Latino/</w:t>
      </w:r>
      <w:proofErr w:type="gramStart"/>
      <w:r w:rsidRPr="008157BA">
        <w:rPr>
          <w:rFonts w:ascii="Times New Roman" w:hAnsi="Times New Roman"/>
          <w:sz w:val="20"/>
          <w:szCs w:val="20"/>
        </w:rPr>
        <w:t>a</w:t>
      </w:r>
      <w:proofErr w:type="gramEnd"/>
      <w:r w:rsidRPr="008157BA">
        <w:rPr>
          <w:rFonts w:ascii="Times New Roman" w:hAnsi="Times New Roman"/>
          <w:sz w:val="20"/>
          <w:szCs w:val="20"/>
        </w:rPr>
        <w:t xml:space="preserve"> Americans: Qualitative and meta-analytic review. </w:t>
      </w:r>
      <w:r w:rsidRPr="008157BA">
        <w:rPr>
          <w:rFonts w:ascii="Times New Roman" w:hAnsi="Times New Roman"/>
          <w:i/>
          <w:sz w:val="20"/>
          <w:szCs w:val="20"/>
        </w:rPr>
        <w:t>Psychological Bulletin, 141</w:t>
      </w:r>
      <w:r w:rsidRPr="008157BA">
        <w:rPr>
          <w:rFonts w:ascii="Times New Roman" w:hAnsi="Times New Roman"/>
          <w:sz w:val="20"/>
          <w:szCs w:val="20"/>
        </w:rPr>
        <w:t xml:space="preserve">(2), 404-446. </w:t>
      </w:r>
      <w:hyperlink r:id="rId24" w:history="1">
        <w:r w:rsidRPr="008157BA">
          <w:rPr>
            <w:rStyle w:val="Kpr"/>
            <w:rFonts w:ascii="Times New Roman" w:hAnsi="Times New Roman"/>
            <w:color w:val="auto"/>
            <w:sz w:val="20"/>
            <w:szCs w:val="20"/>
            <w:u w:val="none"/>
          </w:rPr>
          <w:t>http://dx.doi.org/10.1037/a0038449</w:t>
        </w:r>
      </w:hyperlink>
    </w:p>
    <w:p w14:paraId="3E1818BF"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t>Marryshow</w:t>
      </w:r>
      <w:proofErr w:type="spellEnd"/>
      <w:r w:rsidRPr="008157BA">
        <w:rPr>
          <w:rFonts w:eastAsia="TimesNewRomanPSMT" w:cs="Times New Roman"/>
          <w:szCs w:val="20"/>
        </w:rPr>
        <w:t xml:space="preserve">, D., Hurley, E. A., Allen, B. A., Tyler, K. M., &amp; Boykin, A. W. (2005). Impact of learning orientation on African American children’s attitudes toward high-achieving peers. </w:t>
      </w:r>
      <w:r w:rsidRPr="008157BA">
        <w:rPr>
          <w:rFonts w:eastAsia="TimesNewRomanPSMT" w:cs="Times New Roman"/>
          <w:i/>
          <w:iCs/>
          <w:szCs w:val="20"/>
        </w:rPr>
        <w:t>American Journal of Psychology</w:t>
      </w:r>
      <w:r w:rsidRPr="008157BA">
        <w:rPr>
          <w:rFonts w:eastAsia="TimesNewRomanPSMT" w:cs="Times New Roman"/>
          <w:szCs w:val="20"/>
        </w:rPr>
        <w:t xml:space="preserve">, </w:t>
      </w:r>
      <w:r w:rsidRPr="008157BA">
        <w:rPr>
          <w:rFonts w:eastAsia="TimesNewRomanPSMT" w:cs="Times New Roman"/>
          <w:i/>
          <w:iCs/>
          <w:szCs w:val="20"/>
        </w:rPr>
        <w:t>118</w:t>
      </w:r>
      <w:r w:rsidRPr="008157BA">
        <w:rPr>
          <w:rFonts w:eastAsia="TimesNewRomanPSMT" w:cs="Times New Roman"/>
          <w:szCs w:val="20"/>
        </w:rPr>
        <w:t>, 603-618.</w:t>
      </w:r>
    </w:p>
    <w:p w14:paraId="3D7A1B59"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Mejia-</w:t>
      </w:r>
      <w:proofErr w:type="spellStart"/>
      <w:r w:rsidRPr="008157BA">
        <w:rPr>
          <w:rFonts w:eastAsia="TimesNewRomanPSMT" w:cs="Times New Roman"/>
          <w:szCs w:val="20"/>
        </w:rPr>
        <w:t>Arauz</w:t>
      </w:r>
      <w:proofErr w:type="spellEnd"/>
      <w:r w:rsidRPr="008157BA">
        <w:rPr>
          <w:rFonts w:eastAsia="TimesNewRomanPSMT" w:cs="Times New Roman"/>
          <w:szCs w:val="20"/>
        </w:rPr>
        <w:t xml:space="preserve">, R., </w:t>
      </w:r>
      <w:proofErr w:type="spellStart"/>
      <w:r w:rsidRPr="008157BA">
        <w:rPr>
          <w:rFonts w:eastAsia="TimesNewRomanPSMT" w:cs="Times New Roman"/>
          <w:szCs w:val="20"/>
        </w:rPr>
        <w:t>Rogoff</w:t>
      </w:r>
      <w:proofErr w:type="spellEnd"/>
      <w:r w:rsidRPr="008157BA">
        <w:rPr>
          <w:rFonts w:eastAsia="TimesNewRomanPSMT" w:cs="Times New Roman"/>
          <w:szCs w:val="20"/>
        </w:rPr>
        <w:t xml:space="preserve">, B., Dexter, A., &amp; </w:t>
      </w:r>
      <w:proofErr w:type="spellStart"/>
      <w:r w:rsidRPr="008157BA">
        <w:rPr>
          <w:rFonts w:eastAsia="TimesNewRomanPSMT" w:cs="Times New Roman"/>
          <w:szCs w:val="20"/>
        </w:rPr>
        <w:t>Najafi</w:t>
      </w:r>
      <w:proofErr w:type="spellEnd"/>
      <w:r w:rsidRPr="008157BA">
        <w:rPr>
          <w:rFonts w:eastAsia="TimesNewRomanPSMT" w:cs="Times New Roman"/>
          <w:szCs w:val="20"/>
        </w:rPr>
        <w:t xml:space="preserve">, B. (2007). Cultural variation in children’s social organization. </w:t>
      </w:r>
      <w:r w:rsidRPr="008157BA">
        <w:rPr>
          <w:rFonts w:eastAsia="TimesNewRomanPSMT" w:cs="Times New Roman"/>
          <w:i/>
          <w:iCs/>
          <w:szCs w:val="20"/>
        </w:rPr>
        <w:t>Child Development</w:t>
      </w:r>
      <w:r w:rsidRPr="008157BA">
        <w:rPr>
          <w:rFonts w:eastAsia="TimesNewRomanPSMT" w:cs="Times New Roman"/>
          <w:szCs w:val="20"/>
        </w:rPr>
        <w:t xml:space="preserve">, </w:t>
      </w:r>
      <w:r w:rsidRPr="008157BA">
        <w:rPr>
          <w:rFonts w:eastAsia="TimesNewRomanPSMT" w:cs="Times New Roman"/>
          <w:i/>
          <w:iCs/>
          <w:szCs w:val="20"/>
        </w:rPr>
        <w:t>78</w:t>
      </w:r>
      <w:r w:rsidRPr="008157BA">
        <w:rPr>
          <w:rFonts w:eastAsia="TimesNewRomanPSMT" w:cs="Times New Roman"/>
          <w:szCs w:val="20"/>
        </w:rPr>
        <w:t>, 1001-1014.</w:t>
      </w:r>
    </w:p>
    <w:p w14:paraId="1077F582"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Mercado, G., &amp; Trumbull, E. (2018). Mentoring beginning immigrant teachers: How culture may </w:t>
      </w:r>
      <w:proofErr w:type="gramStart"/>
      <w:r w:rsidRPr="008157BA">
        <w:rPr>
          <w:rFonts w:ascii="Times New Roman" w:hAnsi="Times New Roman"/>
          <w:sz w:val="20"/>
          <w:szCs w:val="20"/>
        </w:rPr>
        <w:t>impact</w:t>
      </w:r>
      <w:proofErr w:type="gramEnd"/>
      <w:r w:rsidRPr="008157BA">
        <w:rPr>
          <w:rFonts w:ascii="Times New Roman" w:hAnsi="Times New Roman"/>
          <w:sz w:val="20"/>
          <w:szCs w:val="20"/>
        </w:rPr>
        <w:t xml:space="preserve"> the message. </w:t>
      </w:r>
      <w:r w:rsidRPr="008157BA">
        <w:rPr>
          <w:rFonts w:ascii="Times New Roman" w:hAnsi="Times New Roman"/>
          <w:i/>
          <w:sz w:val="20"/>
          <w:szCs w:val="20"/>
        </w:rPr>
        <w:t>International Journal of Psychology, 53</w:t>
      </w:r>
      <w:r w:rsidRPr="008157BA">
        <w:rPr>
          <w:rFonts w:ascii="Times New Roman" w:hAnsi="Times New Roman"/>
          <w:sz w:val="20"/>
          <w:szCs w:val="20"/>
        </w:rPr>
        <w:t xml:space="preserve">(S2), 44-53. </w:t>
      </w:r>
      <w:hyperlink r:id="rId25" w:history="1">
        <w:r w:rsidRPr="008157BA">
          <w:rPr>
            <w:rStyle w:val="Kpr"/>
            <w:rFonts w:ascii="Times New Roman" w:hAnsi="Times New Roman"/>
            <w:color w:val="auto"/>
            <w:sz w:val="20"/>
            <w:szCs w:val="20"/>
            <w:u w:val="none"/>
          </w:rPr>
          <w:t>https://doi.org/10.1002/ijop.12555</w:t>
        </w:r>
      </w:hyperlink>
    </w:p>
    <w:p w14:paraId="65123D56"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t>Mertler</w:t>
      </w:r>
      <w:proofErr w:type="spellEnd"/>
      <w:r w:rsidRPr="008157BA">
        <w:rPr>
          <w:rFonts w:eastAsia="TimesNewRomanPSMT" w:cs="Times New Roman"/>
          <w:szCs w:val="20"/>
        </w:rPr>
        <w:t xml:space="preserve">, C. A., &amp; </w:t>
      </w:r>
      <w:proofErr w:type="spellStart"/>
      <w:r w:rsidRPr="008157BA">
        <w:rPr>
          <w:rFonts w:eastAsia="TimesNewRomanPSMT" w:cs="Times New Roman"/>
          <w:szCs w:val="20"/>
        </w:rPr>
        <w:t>Vannatta</w:t>
      </w:r>
      <w:proofErr w:type="spellEnd"/>
      <w:r w:rsidRPr="008157BA">
        <w:rPr>
          <w:rFonts w:eastAsia="TimesNewRomanPSMT" w:cs="Times New Roman"/>
          <w:szCs w:val="20"/>
        </w:rPr>
        <w:t xml:space="preserve">, R. A. (2010). </w:t>
      </w:r>
      <w:r w:rsidRPr="008157BA">
        <w:rPr>
          <w:rFonts w:eastAsia="TimesNewRomanPSMT" w:cs="Times New Roman"/>
          <w:i/>
          <w:iCs/>
          <w:szCs w:val="20"/>
        </w:rPr>
        <w:t xml:space="preserve">Advanced and multivariate statistical methods: Practical application and interpretation </w:t>
      </w:r>
      <w:r w:rsidRPr="008157BA">
        <w:rPr>
          <w:rFonts w:eastAsia="TimesNewRomanPSMT" w:cs="Times New Roman"/>
          <w:szCs w:val="20"/>
        </w:rPr>
        <w:t xml:space="preserve">(4th </w:t>
      </w:r>
      <w:proofErr w:type="gramStart"/>
      <w:r w:rsidRPr="008157BA">
        <w:rPr>
          <w:rFonts w:eastAsia="TimesNewRomanPSMT" w:cs="Times New Roman"/>
          <w:szCs w:val="20"/>
        </w:rPr>
        <w:t>ed</w:t>
      </w:r>
      <w:proofErr w:type="gramEnd"/>
      <w:r w:rsidRPr="008157BA">
        <w:rPr>
          <w:rFonts w:eastAsia="TimesNewRomanPSMT" w:cs="Times New Roman"/>
          <w:szCs w:val="20"/>
        </w:rPr>
        <w:t xml:space="preserve">.). </w:t>
      </w:r>
      <w:proofErr w:type="spellStart"/>
      <w:r w:rsidRPr="008157BA">
        <w:rPr>
          <w:rFonts w:eastAsia="TimesNewRomanPSMT" w:cs="Times New Roman"/>
          <w:szCs w:val="20"/>
        </w:rPr>
        <w:t>Pyrczak</w:t>
      </w:r>
      <w:proofErr w:type="spellEnd"/>
      <w:r w:rsidRPr="008157BA">
        <w:rPr>
          <w:rFonts w:eastAsia="TimesNewRomanPSMT" w:cs="Times New Roman"/>
          <w:szCs w:val="20"/>
        </w:rPr>
        <w:t>.</w:t>
      </w:r>
    </w:p>
    <w:p w14:paraId="07C80687"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Mosier, C. E., &amp; </w:t>
      </w:r>
      <w:proofErr w:type="spellStart"/>
      <w:r w:rsidRPr="008157BA">
        <w:rPr>
          <w:rFonts w:eastAsia="TimesNewRomanPSMT" w:cs="Times New Roman"/>
          <w:szCs w:val="20"/>
        </w:rPr>
        <w:t>Rogoff</w:t>
      </w:r>
      <w:proofErr w:type="spellEnd"/>
      <w:r w:rsidRPr="008157BA">
        <w:rPr>
          <w:rFonts w:eastAsia="TimesNewRomanPSMT" w:cs="Times New Roman"/>
          <w:szCs w:val="20"/>
        </w:rPr>
        <w:t xml:space="preserve">, B. (2003). Privileged treatment of toddlers: Cultural aspects of individual choice and responsibility. </w:t>
      </w:r>
      <w:r w:rsidRPr="008157BA">
        <w:rPr>
          <w:rFonts w:eastAsia="TimesNewRomanPSMT" w:cs="Times New Roman"/>
          <w:i/>
          <w:iCs/>
          <w:szCs w:val="20"/>
        </w:rPr>
        <w:t>Developmental Psychology</w:t>
      </w:r>
      <w:r w:rsidRPr="008157BA">
        <w:rPr>
          <w:rFonts w:eastAsia="TimesNewRomanPSMT" w:cs="Times New Roman"/>
          <w:szCs w:val="20"/>
        </w:rPr>
        <w:t xml:space="preserve">, </w:t>
      </w:r>
      <w:r w:rsidRPr="008157BA">
        <w:rPr>
          <w:rFonts w:eastAsia="TimesNewRomanPSMT" w:cs="Times New Roman"/>
          <w:i/>
          <w:iCs/>
          <w:szCs w:val="20"/>
        </w:rPr>
        <w:t>39</w:t>
      </w:r>
      <w:r w:rsidRPr="008157BA">
        <w:rPr>
          <w:rFonts w:eastAsia="TimesNewRomanPSMT" w:cs="Times New Roman"/>
          <w:szCs w:val="20"/>
        </w:rPr>
        <w:t xml:space="preserve">, 1047-1060. </w:t>
      </w:r>
      <w:r w:rsidRPr="008157BA">
        <w:rPr>
          <w:rFonts w:cs="Times New Roman"/>
          <w:szCs w:val="20"/>
        </w:rPr>
        <w:t>https://doi.org/</w:t>
      </w:r>
      <w:r w:rsidRPr="008157BA">
        <w:rPr>
          <w:rFonts w:eastAsia="TimesNewRomanPSMT" w:cs="Times New Roman"/>
          <w:szCs w:val="20"/>
        </w:rPr>
        <w:t>10.1037/0012-1649.39.6.1047</w:t>
      </w:r>
    </w:p>
    <w:p w14:paraId="1FAF2D4E" w14:textId="77777777" w:rsidR="008157BA" w:rsidRPr="008157BA" w:rsidRDefault="008157BA" w:rsidP="008157BA">
      <w:pPr>
        <w:widowControl w:val="0"/>
        <w:autoSpaceDE w:val="0"/>
        <w:autoSpaceDN w:val="0"/>
        <w:adjustRightInd w:val="0"/>
        <w:spacing w:line="360" w:lineRule="auto"/>
        <w:ind w:left="720" w:hanging="720"/>
        <w:rPr>
          <w:rFonts w:cs="Times New Roman"/>
          <w:szCs w:val="20"/>
        </w:rPr>
      </w:pPr>
      <w:proofErr w:type="spellStart"/>
      <w:r w:rsidRPr="008157BA">
        <w:rPr>
          <w:rFonts w:eastAsia="TimesNewRomanPSMT" w:cs="Times New Roman"/>
          <w:szCs w:val="20"/>
        </w:rPr>
        <w:t>Mosqueda</w:t>
      </w:r>
      <w:proofErr w:type="spellEnd"/>
      <w:r w:rsidRPr="008157BA">
        <w:rPr>
          <w:rFonts w:eastAsia="TimesNewRomanPSMT" w:cs="Times New Roman"/>
          <w:szCs w:val="20"/>
        </w:rPr>
        <w:t xml:space="preserve">, E., &amp; Maldonado, S. I. (2013). The effects of English language proficiency and curricular pathways: </w:t>
      </w:r>
      <w:proofErr w:type="spellStart"/>
      <w:r w:rsidRPr="008157BA">
        <w:rPr>
          <w:rFonts w:eastAsia="TimesNewRomanPSMT" w:cs="Times New Roman"/>
          <w:szCs w:val="20"/>
        </w:rPr>
        <w:t>Latinxs</w:t>
      </w:r>
      <w:proofErr w:type="spellEnd"/>
      <w:r w:rsidRPr="008157BA">
        <w:rPr>
          <w:rFonts w:eastAsia="TimesNewRomanPSMT" w:cs="Times New Roman"/>
          <w:szCs w:val="20"/>
        </w:rPr>
        <w:t xml:space="preserve">’ mathematics achievement in secondary schools. </w:t>
      </w:r>
      <w:r w:rsidRPr="008157BA">
        <w:rPr>
          <w:rFonts w:eastAsia="TimesNewRomanPSMT" w:cs="Times New Roman"/>
          <w:i/>
          <w:iCs/>
          <w:szCs w:val="20"/>
        </w:rPr>
        <w:t>Equity &amp; Excellence in Education</w:t>
      </w:r>
      <w:r w:rsidRPr="008157BA">
        <w:rPr>
          <w:rFonts w:eastAsia="TimesNewRomanPSMT" w:cs="Times New Roman"/>
          <w:szCs w:val="20"/>
        </w:rPr>
        <w:t xml:space="preserve">, </w:t>
      </w:r>
      <w:r w:rsidRPr="008157BA">
        <w:rPr>
          <w:rFonts w:eastAsia="TimesNewRomanPSMT" w:cs="Times New Roman"/>
          <w:i/>
          <w:iCs/>
          <w:szCs w:val="20"/>
        </w:rPr>
        <w:t>46</w:t>
      </w:r>
      <w:r w:rsidRPr="008157BA">
        <w:rPr>
          <w:rFonts w:eastAsia="TimesNewRomanPSMT" w:cs="Times New Roman"/>
          <w:szCs w:val="20"/>
        </w:rPr>
        <w:t xml:space="preserve">, 202-219. </w:t>
      </w:r>
      <w:r w:rsidRPr="008157BA">
        <w:rPr>
          <w:rFonts w:cs="Times New Roman"/>
          <w:szCs w:val="20"/>
        </w:rPr>
        <w:t>https://doi.org/</w:t>
      </w:r>
      <w:r w:rsidRPr="008157BA">
        <w:rPr>
          <w:rFonts w:eastAsia="TimesNewRomanPSMT" w:cs="Times New Roman"/>
          <w:szCs w:val="20"/>
        </w:rPr>
        <w:t>10.1080/10665684.2013.780647</w:t>
      </w:r>
    </w:p>
    <w:p w14:paraId="1E69CF06"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Natal, M., Jimenez, R., &amp; </w:t>
      </w:r>
      <w:proofErr w:type="spellStart"/>
      <w:r w:rsidRPr="008157BA">
        <w:rPr>
          <w:rFonts w:ascii="Times New Roman" w:hAnsi="Times New Roman"/>
          <w:sz w:val="20"/>
          <w:szCs w:val="20"/>
        </w:rPr>
        <w:t>Htway</w:t>
      </w:r>
      <w:proofErr w:type="spellEnd"/>
      <w:r w:rsidRPr="008157BA">
        <w:rPr>
          <w:rFonts w:ascii="Times New Roman" w:hAnsi="Times New Roman"/>
          <w:sz w:val="20"/>
          <w:szCs w:val="20"/>
        </w:rPr>
        <w:t xml:space="preserve">, Z. (2021). Lived experiences of Asian and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online doctoral students. </w:t>
      </w:r>
      <w:r w:rsidRPr="008157BA">
        <w:rPr>
          <w:rFonts w:ascii="Times New Roman" w:hAnsi="Times New Roman"/>
          <w:i/>
          <w:sz w:val="20"/>
          <w:szCs w:val="20"/>
        </w:rPr>
        <w:t>American Journal of Distance Education, 35</w:t>
      </w:r>
      <w:r w:rsidRPr="008157BA">
        <w:rPr>
          <w:rFonts w:ascii="Times New Roman" w:hAnsi="Times New Roman"/>
          <w:sz w:val="20"/>
          <w:szCs w:val="20"/>
        </w:rPr>
        <w:t xml:space="preserve">(2), 87-99. </w:t>
      </w:r>
      <w:hyperlink r:id="rId26" w:history="1">
        <w:r w:rsidRPr="008157BA">
          <w:rPr>
            <w:rStyle w:val="Kpr"/>
            <w:rFonts w:ascii="Times New Roman" w:hAnsi="Times New Roman"/>
            <w:color w:val="auto"/>
            <w:sz w:val="20"/>
            <w:szCs w:val="20"/>
            <w:u w:val="none"/>
          </w:rPr>
          <w:t>https://doi.org/10.1080/08923647.2020.1793642</w:t>
        </w:r>
      </w:hyperlink>
    </w:p>
    <w:p w14:paraId="5C37C9CF"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Nguyen, B. M. D., &amp; Nguyen, M. H. (2020). Extending cultural mismatch theory: In consideration of race/ethnicity. </w:t>
      </w:r>
      <w:r w:rsidRPr="008157BA">
        <w:rPr>
          <w:rFonts w:ascii="Times New Roman" w:hAnsi="Times New Roman"/>
          <w:i/>
          <w:sz w:val="20"/>
          <w:szCs w:val="20"/>
        </w:rPr>
        <w:t>International Studies in Sociology of Education, 29</w:t>
      </w:r>
      <w:r w:rsidRPr="008157BA">
        <w:rPr>
          <w:rFonts w:ascii="Times New Roman" w:hAnsi="Times New Roman"/>
          <w:sz w:val="20"/>
          <w:szCs w:val="20"/>
        </w:rPr>
        <w:t xml:space="preserve">(3), 224-249. </w:t>
      </w:r>
      <w:hyperlink r:id="rId27" w:history="1">
        <w:r w:rsidRPr="008157BA">
          <w:rPr>
            <w:rStyle w:val="Kpr"/>
            <w:rFonts w:ascii="Times New Roman" w:hAnsi="Times New Roman"/>
            <w:color w:val="auto"/>
            <w:sz w:val="20"/>
            <w:szCs w:val="20"/>
            <w:u w:val="none"/>
          </w:rPr>
          <w:t>https://doi.org/10.1080/09620214.2020.1755881</w:t>
        </w:r>
      </w:hyperlink>
    </w:p>
    <w:p w14:paraId="6345DF9E" w14:textId="77777777" w:rsidR="008157BA" w:rsidRPr="008157BA" w:rsidRDefault="008157BA" w:rsidP="008157BA">
      <w:pPr>
        <w:widowControl w:val="0"/>
        <w:autoSpaceDE w:val="0"/>
        <w:autoSpaceDN w:val="0"/>
        <w:adjustRightInd w:val="0"/>
        <w:spacing w:line="360" w:lineRule="auto"/>
        <w:ind w:left="720" w:hanging="720"/>
        <w:rPr>
          <w:rFonts w:cs="Times New Roman"/>
          <w:szCs w:val="20"/>
        </w:rPr>
      </w:pPr>
      <w:proofErr w:type="spellStart"/>
      <w:r w:rsidRPr="008157BA">
        <w:rPr>
          <w:rFonts w:eastAsia="TimesNewRomanPSMT" w:cs="Times New Roman"/>
          <w:szCs w:val="20"/>
        </w:rPr>
        <w:t>Oyserman</w:t>
      </w:r>
      <w:proofErr w:type="spellEnd"/>
      <w:r w:rsidRPr="008157BA">
        <w:rPr>
          <w:rFonts w:eastAsia="TimesNewRomanPSMT" w:cs="Times New Roman"/>
          <w:szCs w:val="20"/>
        </w:rPr>
        <w:t xml:space="preserve">, D., Coon, H. M., &amp; </w:t>
      </w:r>
      <w:proofErr w:type="spellStart"/>
      <w:r w:rsidRPr="008157BA">
        <w:rPr>
          <w:rFonts w:eastAsia="TimesNewRomanPSMT" w:cs="Times New Roman"/>
          <w:szCs w:val="20"/>
        </w:rPr>
        <w:t>Kemmelmeier</w:t>
      </w:r>
      <w:proofErr w:type="spellEnd"/>
      <w:r w:rsidRPr="008157BA">
        <w:rPr>
          <w:rFonts w:eastAsia="TimesNewRomanPSMT" w:cs="Times New Roman"/>
          <w:szCs w:val="20"/>
        </w:rPr>
        <w:t xml:space="preserve">, M. (2002). Rethinking individualism and collectivism: Evaluation of theoretical assumptions and meta-analyses. </w:t>
      </w:r>
      <w:r w:rsidRPr="008157BA">
        <w:rPr>
          <w:rFonts w:eastAsia="TimesNewRomanPSMT" w:cs="Times New Roman"/>
          <w:i/>
          <w:iCs/>
          <w:szCs w:val="20"/>
        </w:rPr>
        <w:t>Psychological Bulletin</w:t>
      </w:r>
      <w:r w:rsidRPr="008157BA">
        <w:rPr>
          <w:rFonts w:eastAsia="TimesNewRomanPSMT" w:cs="Times New Roman"/>
          <w:szCs w:val="20"/>
        </w:rPr>
        <w:t xml:space="preserve">, </w:t>
      </w:r>
      <w:r w:rsidRPr="008157BA">
        <w:rPr>
          <w:rFonts w:eastAsia="TimesNewRomanPSMT" w:cs="Times New Roman"/>
          <w:i/>
          <w:iCs/>
          <w:szCs w:val="20"/>
        </w:rPr>
        <w:t>128</w:t>
      </w:r>
      <w:r w:rsidRPr="008157BA">
        <w:rPr>
          <w:rFonts w:eastAsia="TimesNewRomanPSMT" w:cs="Times New Roman"/>
          <w:szCs w:val="20"/>
        </w:rPr>
        <w:t xml:space="preserve">, 3-72. </w:t>
      </w:r>
      <w:r w:rsidRPr="008157BA">
        <w:rPr>
          <w:rFonts w:cs="Times New Roman"/>
          <w:szCs w:val="20"/>
        </w:rPr>
        <w:t>https://doi.org/</w:t>
      </w:r>
      <w:r w:rsidRPr="008157BA">
        <w:rPr>
          <w:rFonts w:eastAsia="TimesNewRomanPSMT" w:cs="Times New Roman"/>
          <w:szCs w:val="20"/>
        </w:rPr>
        <w:t>10.1037//0033-2909.128.1.3</w:t>
      </w:r>
    </w:p>
    <w:p w14:paraId="0AA08CF0"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Phillips, L. T., Stephens, N. M., Townsend, S. S. M., &amp; </w:t>
      </w:r>
      <w:proofErr w:type="spellStart"/>
      <w:r w:rsidRPr="008157BA">
        <w:rPr>
          <w:rFonts w:ascii="Times New Roman" w:hAnsi="Times New Roman"/>
          <w:sz w:val="20"/>
          <w:szCs w:val="20"/>
        </w:rPr>
        <w:t>Goudeau</w:t>
      </w:r>
      <w:proofErr w:type="spellEnd"/>
      <w:r w:rsidRPr="008157BA">
        <w:rPr>
          <w:rFonts w:ascii="Times New Roman" w:hAnsi="Times New Roman"/>
          <w:sz w:val="20"/>
          <w:szCs w:val="20"/>
        </w:rPr>
        <w:t xml:space="preserve">, S. (2020). Access in not enough: Cultural mismatch persists to limit first-generation students’ opportunities for achievement throughout college. </w:t>
      </w:r>
      <w:r w:rsidRPr="008157BA">
        <w:rPr>
          <w:rFonts w:ascii="Times New Roman" w:hAnsi="Times New Roman"/>
          <w:i/>
          <w:sz w:val="20"/>
          <w:szCs w:val="20"/>
        </w:rPr>
        <w:t>Journal of Personality and Social Psychology: Interpersonal Relations and Group Processes, 119</w:t>
      </w:r>
      <w:r w:rsidRPr="008157BA">
        <w:rPr>
          <w:rFonts w:ascii="Times New Roman" w:hAnsi="Times New Roman"/>
          <w:sz w:val="20"/>
          <w:szCs w:val="20"/>
        </w:rPr>
        <w:t>(5), 1112-1131. http://dx.doi.org/10.1037/pspi0000234</w:t>
      </w:r>
    </w:p>
    <w:p w14:paraId="4C4B932D" w14:textId="77777777" w:rsidR="008157BA" w:rsidRPr="008157BA" w:rsidRDefault="008157BA" w:rsidP="008157BA">
      <w:pPr>
        <w:pStyle w:val="AralkYok"/>
        <w:widowControl w:val="0"/>
        <w:suppressAutoHyphens/>
        <w:spacing w:line="360" w:lineRule="auto"/>
        <w:ind w:left="720" w:hanging="720"/>
        <w:jc w:val="both"/>
        <w:rPr>
          <w:rStyle w:val="Kpr"/>
          <w:rFonts w:ascii="Times New Roman" w:hAnsi="Times New Roman"/>
          <w:color w:val="auto"/>
          <w:sz w:val="20"/>
          <w:szCs w:val="20"/>
          <w:u w:val="none"/>
        </w:rPr>
      </w:pPr>
      <w:proofErr w:type="spellStart"/>
      <w:r w:rsidRPr="008157BA">
        <w:rPr>
          <w:rFonts w:ascii="Times New Roman" w:hAnsi="Times New Roman"/>
          <w:sz w:val="20"/>
          <w:szCs w:val="20"/>
        </w:rPr>
        <w:t>Pinquart</w:t>
      </w:r>
      <w:proofErr w:type="spellEnd"/>
      <w:r w:rsidRPr="008157BA">
        <w:rPr>
          <w:rFonts w:ascii="Times New Roman" w:hAnsi="Times New Roman"/>
          <w:sz w:val="20"/>
          <w:szCs w:val="20"/>
        </w:rPr>
        <w:t xml:space="preserve">, M., &amp; </w:t>
      </w:r>
      <w:proofErr w:type="spellStart"/>
      <w:r w:rsidRPr="008157BA">
        <w:rPr>
          <w:rFonts w:ascii="Times New Roman" w:hAnsi="Times New Roman"/>
          <w:sz w:val="20"/>
          <w:szCs w:val="20"/>
        </w:rPr>
        <w:t>Kauser</w:t>
      </w:r>
      <w:proofErr w:type="spellEnd"/>
      <w:r w:rsidRPr="008157BA">
        <w:rPr>
          <w:rFonts w:ascii="Times New Roman" w:hAnsi="Times New Roman"/>
          <w:sz w:val="20"/>
          <w:szCs w:val="20"/>
        </w:rPr>
        <w:t xml:space="preserve">, R. (2018). Do the associations of parenting styles with behavior problems and academic achievement vary by culture? Results from a meta-analysis. </w:t>
      </w:r>
      <w:r w:rsidRPr="008157BA">
        <w:rPr>
          <w:rFonts w:ascii="Times New Roman" w:hAnsi="Times New Roman"/>
          <w:i/>
          <w:sz w:val="20"/>
          <w:szCs w:val="20"/>
        </w:rPr>
        <w:t>Cultural Diversity and Ethnic Minority Psychology, 24</w:t>
      </w:r>
      <w:r w:rsidRPr="008157BA">
        <w:rPr>
          <w:rFonts w:ascii="Times New Roman" w:hAnsi="Times New Roman"/>
          <w:sz w:val="20"/>
          <w:szCs w:val="20"/>
        </w:rPr>
        <w:t xml:space="preserve">(1), 75-100. </w:t>
      </w:r>
      <w:hyperlink r:id="rId28" w:history="1">
        <w:r w:rsidRPr="008157BA">
          <w:rPr>
            <w:rStyle w:val="Kpr"/>
            <w:rFonts w:ascii="Times New Roman" w:hAnsi="Times New Roman"/>
            <w:color w:val="auto"/>
            <w:sz w:val="20"/>
            <w:szCs w:val="20"/>
            <w:u w:val="none"/>
          </w:rPr>
          <w:t>http://dx.doi.org/10.1037/cdp0000149</w:t>
        </w:r>
      </w:hyperlink>
    </w:p>
    <w:p w14:paraId="0A5A03D6"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Style w:val="Kpr"/>
          <w:rFonts w:ascii="Times New Roman" w:hAnsi="Times New Roman"/>
          <w:color w:val="auto"/>
          <w:sz w:val="20"/>
          <w:szCs w:val="20"/>
          <w:u w:val="none"/>
        </w:rPr>
        <w:t xml:space="preserve">Roche, K. M., </w:t>
      </w:r>
      <w:proofErr w:type="spellStart"/>
      <w:r w:rsidRPr="008157BA">
        <w:rPr>
          <w:rStyle w:val="Kpr"/>
          <w:rFonts w:ascii="Times New Roman" w:hAnsi="Times New Roman"/>
          <w:color w:val="auto"/>
          <w:sz w:val="20"/>
          <w:szCs w:val="20"/>
          <w:u w:val="none"/>
        </w:rPr>
        <w:t>Ghazarian</w:t>
      </w:r>
      <w:proofErr w:type="spellEnd"/>
      <w:r w:rsidRPr="008157BA">
        <w:rPr>
          <w:rStyle w:val="Kpr"/>
          <w:rFonts w:ascii="Times New Roman" w:hAnsi="Times New Roman"/>
          <w:color w:val="auto"/>
          <w:sz w:val="20"/>
          <w:szCs w:val="20"/>
          <w:u w:val="none"/>
        </w:rPr>
        <w:t>, S. R., &amp; Fernandez-</w:t>
      </w:r>
      <w:proofErr w:type="spellStart"/>
      <w:r w:rsidRPr="008157BA">
        <w:rPr>
          <w:rStyle w:val="Kpr"/>
          <w:rFonts w:ascii="Times New Roman" w:hAnsi="Times New Roman"/>
          <w:color w:val="auto"/>
          <w:sz w:val="20"/>
          <w:szCs w:val="20"/>
          <w:u w:val="none"/>
        </w:rPr>
        <w:t>Esquer</w:t>
      </w:r>
      <w:proofErr w:type="spellEnd"/>
      <w:r w:rsidRPr="008157BA">
        <w:rPr>
          <w:rStyle w:val="Kpr"/>
          <w:rFonts w:ascii="Times New Roman" w:hAnsi="Times New Roman"/>
          <w:color w:val="auto"/>
          <w:sz w:val="20"/>
          <w:szCs w:val="20"/>
          <w:u w:val="none"/>
        </w:rPr>
        <w:t xml:space="preserve">, M. E. (2012). Unpacking acculturation: Cultural orientations and educational attainment among Mexican-origin youth. </w:t>
      </w:r>
      <w:r w:rsidRPr="008157BA">
        <w:rPr>
          <w:rStyle w:val="Kpr"/>
          <w:rFonts w:ascii="Times New Roman" w:hAnsi="Times New Roman"/>
          <w:i/>
          <w:color w:val="auto"/>
          <w:sz w:val="20"/>
          <w:szCs w:val="20"/>
          <w:u w:val="none"/>
        </w:rPr>
        <w:t>Journal of Youth and Adolescence, 41</w:t>
      </w:r>
      <w:r w:rsidRPr="008157BA">
        <w:rPr>
          <w:rStyle w:val="Kpr"/>
          <w:rFonts w:ascii="Times New Roman" w:hAnsi="Times New Roman"/>
          <w:color w:val="auto"/>
          <w:sz w:val="20"/>
          <w:szCs w:val="20"/>
          <w:u w:val="none"/>
        </w:rPr>
        <w:t>, 920-931. https://doi.org/</w:t>
      </w:r>
      <w:r w:rsidRPr="008157BA">
        <w:rPr>
          <w:rFonts w:ascii="Times New Roman" w:hAnsi="Times New Roman"/>
          <w:sz w:val="20"/>
          <w:szCs w:val="20"/>
        </w:rPr>
        <w:t>10.1007/s10964-011-9725-8</w:t>
      </w:r>
    </w:p>
    <w:p w14:paraId="3A51DE18"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lastRenderedPageBreak/>
        <w:t>Rogoff</w:t>
      </w:r>
      <w:proofErr w:type="spellEnd"/>
      <w:r w:rsidRPr="008157BA">
        <w:rPr>
          <w:rFonts w:eastAsia="TimesNewRomanPSMT" w:cs="Times New Roman"/>
          <w:szCs w:val="20"/>
        </w:rPr>
        <w:t xml:space="preserve">, B. (2003). </w:t>
      </w:r>
      <w:r w:rsidRPr="008157BA">
        <w:rPr>
          <w:rFonts w:eastAsia="TimesNewRomanPSMT" w:cs="Times New Roman"/>
          <w:i/>
          <w:iCs/>
          <w:szCs w:val="20"/>
        </w:rPr>
        <w:t>The cultural nature of human development</w:t>
      </w:r>
      <w:r w:rsidRPr="008157BA">
        <w:rPr>
          <w:rFonts w:eastAsia="TimesNewRomanPSMT" w:cs="Times New Roman"/>
          <w:szCs w:val="20"/>
        </w:rPr>
        <w:t>. Oxford University Press.</w:t>
      </w:r>
    </w:p>
    <w:p w14:paraId="71C1FEC8"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Rothstein-</w:t>
      </w:r>
      <w:proofErr w:type="spellStart"/>
      <w:r w:rsidRPr="008157BA">
        <w:rPr>
          <w:rFonts w:eastAsia="TimesNewRomanPSMT" w:cs="Times New Roman"/>
          <w:szCs w:val="20"/>
        </w:rPr>
        <w:t>Fisch</w:t>
      </w:r>
      <w:proofErr w:type="spellEnd"/>
      <w:r w:rsidRPr="008157BA">
        <w:rPr>
          <w:rFonts w:eastAsia="TimesNewRomanPSMT" w:cs="Times New Roman"/>
          <w:szCs w:val="20"/>
        </w:rPr>
        <w:t xml:space="preserve">, C., Trumbull, E., &amp; Garcia, S. G. (2009). Making the implicit explicit: Supporting teachers to bridge cultures. </w:t>
      </w:r>
      <w:r w:rsidRPr="008157BA">
        <w:rPr>
          <w:rFonts w:eastAsia="TimesNewRomanPSMT" w:cs="Times New Roman"/>
          <w:i/>
          <w:iCs/>
          <w:szCs w:val="20"/>
        </w:rPr>
        <w:t>Early Childhood Research Quarterly</w:t>
      </w:r>
      <w:r w:rsidRPr="008157BA">
        <w:rPr>
          <w:rFonts w:eastAsia="TimesNewRomanPSMT" w:cs="Times New Roman"/>
          <w:szCs w:val="20"/>
        </w:rPr>
        <w:t xml:space="preserve">, </w:t>
      </w:r>
      <w:r w:rsidRPr="008157BA">
        <w:rPr>
          <w:rFonts w:eastAsia="TimesNewRomanPSMT" w:cs="Times New Roman"/>
          <w:i/>
          <w:iCs/>
          <w:szCs w:val="20"/>
        </w:rPr>
        <w:t>24</w:t>
      </w:r>
      <w:r w:rsidRPr="008157BA">
        <w:rPr>
          <w:rFonts w:eastAsia="TimesNewRomanPSMT" w:cs="Times New Roman"/>
          <w:szCs w:val="20"/>
        </w:rPr>
        <w:t>, 474-486.</w:t>
      </w:r>
    </w:p>
    <w:p w14:paraId="3A58241C" w14:textId="77777777" w:rsidR="008157BA" w:rsidRPr="008157BA" w:rsidRDefault="008157BA" w:rsidP="008157BA">
      <w:pPr>
        <w:pStyle w:val="AralkYok"/>
        <w:widowControl w:val="0"/>
        <w:suppressAutoHyphens/>
        <w:spacing w:line="360" w:lineRule="auto"/>
        <w:ind w:left="720" w:hanging="720"/>
        <w:jc w:val="both"/>
        <w:rPr>
          <w:rFonts w:ascii="Times New Roman" w:eastAsia="TimesNewRomanPSMT" w:hAnsi="Times New Roman"/>
          <w:sz w:val="20"/>
          <w:szCs w:val="20"/>
        </w:rPr>
      </w:pPr>
      <w:proofErr w:type="spellStart"/>
      <w:r w:rsidRPr="008157BA">
        <w:rPr>
          <w:rFonts w:ascii="Times New Roman" w:hAnsi="Times New Roman"/>
          <w:sz w:val="20"/>
          <w:szCs w:val="20"/>
        </w:rPr>
        <w:t>Sankofa</w:t>
      </w:r>
      <w:proofErr w:type="spellEnd"/>
      <w:r w:rsidRPr="008157BA">
        <w:rPr>
          <w:rFonts w:ascii="Times New Roman" w:hAnsi="Times New Roman"/>
          <w:sz w:val="20"/>
          <w:szCs w:val="20"/>
        </w:rPr>
        <w:t xml:space="preserve">, B. M., Hurley, E. A., Allen, B. A., &amp; Boykin, A. W. (2005). Cultural expression and Black students’ attitudes toward high achievers. </w:t>
      </w:r>
      <w:r w:rsidRPr="008157BA">
        <w:rPr>
          <w:rFonts w:ascii="Times New Roman" w:hAnsi="Times New Roman"/>
          <w:i/>
          <w:iCs/>
          <w:sz w:val="20"/>
          <w:szCs w:val="20"/>
        </w:rPr>
        <w:t>The Journal of Psychology, 139</w:t>
      </w:r>
      <w:r w:rsidRPr="008157BA">
        <w:rPr>
          <w:rFonts w:ascii="Times New Roman" w:hAnsi="Times New Roman"/>
          <w:sz w:val="20"/>
          <w:szCs w:val="20"/>
        </w:rPr>
        <w:t>(3), 247-259.</w:t>
      </w:r>
    </w:p>
    <w:p w14:paraId="626E1DE9"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Schwartz, S. J. (2007). The applicability of </w:t>
      </w:r>
      <w:proofErr w:type="spellStart"/>
      <w:r w:rsidRPr="008157BA">
        <w:rPr>
          <w:rFonts w:eastAsia="TimesNewRomanPSMT" w:cs="Times New Roman"/>
          <w:szCs w:val="20"/>
        </w:rPr>
        <w:t>familism</w:t>
      </w:r>
      <w:proofErr w:type="spellEnd"/>
      <w:r w:rsidRPr="008157BA">
        <w:rPr>
          <w:rFonts w:eastAsia="TimesNewRomanPSMT" w:cs="Times New Roman"/>
          <w:szCs w:val="20"/>
        </w:rPr>
        <w:t xml:space="preserve"> to diverse ethnic groups: A preliminary study. </w:t>
      </w:r>
      <w:r w:rsidRPr="008157BA">
        <w:rPr>
          <w:rFonts w:eastAsia="TimesNewRomanPSMT" w:cs="Times New Roman"/>
          <w:i/>
          <w:iCs/>
          <w:szCs w:val="20"/>
        </w:rPr>
        <w:t>The Journal of Social Psychology</w:t>
      </w:r>
      <w:r w:rsidRPr="008157BA">
        <w:rPr>
          <w:rFonts w:eastAsia="TimesNewRomanPSMT" w:cs="Times New Roman"/>
          <w:szCs w:val="20"/>
        </w:rPr>
        <w:t xml:space="preserve">, </w:t>
      </w:r>
      <w:r w:rsidRPr="008157BA">
        <w:rPr>
          <w:rFonts w:eastAsia="TimesNewRomanPSMT" w:cs="Times New Roman"/>
          <w:i/>
          <w:iCs/>
          <w:szCs w:val="20"/>
        </w:rPr>
        <w:t>147</w:t>
      </w:r>
      <w:r w:rsidRPr="008157BA">
        <w:rPr>
          <w:rFonts w:eastAsia="TimesNewRomanPSMT" w:cs="Times New Roman"/>
          <w:szCs w:val="20"/>
        </w:rPr>
        <w:t>, 101-118.</w:t>
      </w:r>
    </w:p>
    <w:p w14:paraId="357E6862"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Schwartz, S. J., Waterman, A. S., </w:t>
      </w:r>
      <w:proofErr w:type="spellStart"/>
      <w:r w:rsidRPr="008157BA">
        <w:rPr>
          <w:rFonts w:eastAsia="TimesNewRomanPSMT" w:cs="Times New Roman"/>
          <w:szCs w:val="20"/>
        </w:rPr>
        <w:t>Umana</w:t>
      </w:r>
      <w:proofErr w:type="spellEnd"/>
      <w:r w:rsidRPr="008157BA">
        <w:rPr>
          <w:rFonts w:eastAsia="TimesNewRomanPSMT" w:cs="Times New Roman"/>
          <w:szCs w:val="20"/>
        </w:rPr>
        <w:t xml:space="preserve">-Taylor, A. J., Lee, R. M., Kim, S. Y., </w:t>
      </w:r>
      <w:proofErr w:type="spellStart"/>
      <w:r w:rsidRPr="008157BA">
        <w:rPr>
          <w:rFonts w:eastAsia="TimesNewRomanPSMT" w:cs="Times New Roman"/>
          <w:szCs w:val="20"/>
        </w:rPr>
        <w:t>Vazsonyi</w:t>
      </w:r>
      <w:proofErr w:type="spellEnd"/>
      <w:r w:rsidRPr="008157BA">
        <w:rPr>
          <w:rFonts w:eastAsia="TimesNewRomanPSMT" w:cs="Times New Roman"/>
          <w:szCs w:val="20"/>
        </w:rPr>
        <w:t xml:space="preserve">, A. T., Huynh, Q.-L., </w:t>
      </w:r>
      <w:proofErr w:type="spellStart"/>
      <w:r w:rsidRPr="008157BA">
        <w:rPr>
          <w:rFonts w:eastAsia="TimesNewRomanPSMT" w:cs="Times New Roman"/>
          <w:szCs w:val="20"/>
        </w:rPr>
        <w:t>Whitbourne</w:t>
      </w:r>
      <w:proofErr w:type="spellEnd"/>
      <w:r w:rsidRPr="008157BA">
        <w:rPr>
          <w:rFonts w:eastAsia="TimesNewRomanPSMT" w:cs="Times New Roman"/>
          <w:szCs w:val="20"/>
        </w:rPr>
        <w:t xml:space="preserve">, S. K., Park, I. J. K., Hudson, M., Zamboanga, B. L., </w:t>
      </w:r>
      <w:proofErr w:type="spellStart"/>
      <w:r w:rsidRPr="008157BA">
        <w:rPr>
          <w:rFonts w:eastAsia="TimesNewRomanPSMT" w:cs="Times New Roman"/>
          <w:szCs w:val="20"/>
        </w:rPr>
        <w:t>Bersamin</w:t>
      </w:r>
      <w:proofErr w:type="spellEnd"/>
      <w:r w:rsidRPr="008157BA">
        <w:rPr>
          <w:rFonts w:eastAsia="TimesNewRomanPSMT" w:cs="Times New Roman"/>
          <w:szCs w:val="20"/>
        </w:rPr>
        <w:t xml:space="preserve">, M. M., &amp; Williams, M. K. (2013). Acculturation and well-being among college students from immigrant families. </w:t>
      </w:r>
      <w:r w:rsidRPr="008157BA">
        <w:rPr>
          <w:rFonts w:eastAsia="TimesNewRomanPSMT" w:cs="Times New Roman"/>
          <w:i/>
          <w:iCs/>
          <w:szCs w:val="20"/>
        </w:rPr>
        <w:t>Journal of Clinical Psychology</w:t>
      </w:r>
      <w:r w:rsidRPr="008157BA">
        <w:rPr>
          <w:rFonts w:eastAsia="TimesNewRomanPSMT" w:cs="Times New Roman"/>
          <w:szCs w:val="20"/>
        </w:rPr>
        <w:t xml:space="preserve">, </w:t>
      </w:r>
      <w:r w:rsidRPr="008157BA">
        <w:rPr>
          <w:rFonts w:eastAsia="TimesNewRomanPSMT" w:cs="Times New Roman"/>
          <w:i/>
          <w:iCs/>
          <w:szCs w:val="20"/>
        </w:rPr>
        <w:t>69</w:t>
      </w:r>
      <w:r w:rsidRPr="008157BA">
        <w:rPr>
          <w:rFonts w:eastAsia="TimesNewRomanPSMT" w:cs="Times New Roman"/>
          <w:szCs w:val="20"/>
        </w:rPr>
        <w:t xml:space="preserve">, 298-318. </w:t>
      </w:r>
      <w:r w:rsidRPr="008157BA">
        <w:rPr>
          <w:rFonts w:cs="Times New Roman"/>
          <w:szCs w:val="20"/>
        </w:rPr>
        <w:t>https://doi.org/</w:t>
      </w:r>
      <w:r w:rsidRPr="008157BA">
        <w:rPr>
          <w:rFonts w:eastAsia="TimesNewRomanPSMT" w:cs="Times New Roman"/>
          <w:szCs w:val="20"/>
        </w:rPr>
        <w:t>10.1002/jclp.21847</w:t>
      </w:r>
    </w:p>
    <w:p w14:paraId="4D77514A"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t>Shiu</w:t>
      </w:r>
      <w:proofErr w:type="spellEnd"/>
      <w:r w:rsidRPr="008157BA">
        <w:rPr>
          <w:rFonts w:eastAsia="TimesNewRomanPSMT" w:cs="Times New Roman"/>
          <w:szCs w:val="20"/>
        </w:rPr>
        <w:t xml:space="preserve">, A., </w:t>
      </w:r>
      <w:proofErr w:type="spellStart"/>
      <w:r w:rsidRPr="008157BA">
        <w:rPr>
          <w:rFonts w:eastAsia="TimesNewRomanPSMT" w:cs="Times New Roman"/>
          <w:szCs w:val="20"/>
        </w:rPr>
        <w:t>Kettler</w:t>
      </w:r>
      <w:proofErr w:type="spellEnd"/>
      <w:r w:rsidRPr="008157BA">
        <w:rPr>
          <w:rFonts w:eastAsia="TimesNewRomanPSMT" w:cs="Times New Roman"/>
          <w:szCs w:val="20"/>
        </w:rPr>
        <w:t xml:space="preserve">, T., &amp; Johnson, S. K. (2009). Social effects of Hispanic students enrolled in an AP class in middle school. </w:t>
      </w:r>
      <w:r w:rsidRPr="008157BA">
        <w:rPr>
          <w:rFonts w:eastAsia="TimesNewRomanPSMT" w:cs="Times New Roman"/>
          <w:i/>
          <w:szCs w:val="20"/>
        </w:rPr>
        <w:t>Journal of Advanced Academics, 21</w:t>
      </w:r>
      <w:r w:rsidRPr="008157BA">
        <w:rPr>
          <w:rFonts w:eastAsia="TimesNewRomanPSMT" w:cs="Times New Roman"/>
          <w:szCs w:val="20"/>
        </w:rPr>
        <w:t>(1), 58-82.</w:t>
      </w:r>
    </w:p>
    <w:p w14:paraId="75766DFA"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t>Shorey</w:t>
      </w:r>
      <w:proofErr w:type="spellEnd"/>
      <w:r w:rsidRPr="008157BA">
        <w:rPr>
          <w:rFonts w:eastAsia="TimesNewRomanPSMT" w:cs="Times New Roman"/>
          <w:szCs w:val="20"/>
        </w:rPr>
        <w:t xml:space="preserve">, H. S., Cowan, G., &amp; Sullivan, M. P. (2002). Predicting perceptions of discrimination among Hispanics and Anglos. </w:t>
      </w:r>
      <w:r w:rsidRPr="008157BA">
        <w:rPr>
          <w:rFonts w:eastAsia="TimesNewRomanPSMT" w:cs="Times New Roman"/>
          <w:i/>
          <w:iCs/>
          <w:szCs w:val="20"/>
        </w:rPr>
        <w:t>Hispanic Journal of Behavioral Science</w:t>
      </w:r>
      <w:r w:rsidRPr="008157BA">
        <w:rPr>
          <w:rFonts w:eastAsia="TimesNewRomanPSMT" w:cs="Times New Roman"/>
          <w:szCs w:val="20"/>
        </w:rPr>
        <w:t xml:space="preserve">, </w:t>
      </w:r>
      <w:r w:rsidRPr="008157BA">
        <w:rPr>
          <w:rFonts w:eastAsia="TimesNewRomanPSMT" w:cs="Times New Roman"/>
          <w:i/>
          <w:iCs/>
          <w:szCs w:val="20"/>
        </w:rPr>
        <w:t>24</w:t>
      </w:r>
      <w:r w:rsidRPr="008157BA">
        <w:rPr>
          <w:rFonts w:eastAsia="TimesNewRomanPSMT" w:cs="Times New Roman"/>
          <w:szCs w:val="20"/>
        </w:rPr>
        <w:t xml:space="preserve">(3), 3-22. </w:t>
      </w:r>
      <w:r w:rsidRPr="008157BA">
        <w:rPr>
          <w:rFonts w:cs="Times New Roman"/>
          <w:szCs w:val="20"/>
        </w:rPr>
        <w:t>https://doi.org/</w:t>
      </w:r>
      <w:r w:rsidRPr="008157BA">
        <w:rPr>
          <w:rFonts w:eastAsia="TimesNewRomanPSMT" w:cs="Times New Roman"/>
          <w:szCs w:val="20"/>
        </w:rPr>
        <w:t>10.1177/0739986302024001001</w:t>
      </w:r>
    </w:p>
    <w:p w14:paraId="5B6617D0"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proofErr w:type="spellStart"/>
      <w:r w:rsidRPr="008157BA">
        <w:rPr>
          <w:rFonts w:eastAsia="TimesNewRomanPSMT" w:cs="Times New Roman"/>
          <w:szCs w:val="20"/>
        </w:rPr>
        <w:t>Singelis</w:t>
      </w:r>
      <w:proofErr w:type="spellEnd"/>
      <w:r w:rsidRPr="008157BA">
        <w:rPr>
          <w:rFonts w:eastAsia="TimesNewRomanPSMT" w:cs="Times New Roman"/>
          <w:szCs w:val="20"/>
        </w:rPr>
        <w:t>, T. M. (1994). The measurement of independent and interdependent self-</w:t>
      </w:r>
      <w:proofErr w:type="spellStart"/>
      <w:r w:rsidRPr="008157BA">
        <w:rPr>
          <w:rFonts w:eastAsia="TimesNewRomanPSMT" w:cs="Times New Roman"/>
          <w:szCs w:val="20"/>
        </w:rPr>
        <w:t>construals</w:t>
      </w:r>
      <w:proofErr w:type="spellEnd"/>
      <w:r w:rsidRPr="008157BA">
        <w:rPr>
          <w:rFonts w:eastAsia="TimesNewRomanPSMT" w:cs="Times New Roman"/>
          <w:szCs w:val="20"/>
        </w:rPr>
        <w:t xml:space="preserve">. </w:t>
      </w:r>
      <w:r w:rsidRPr="008157BA">
        <w:rPr>
          <w:rFonts w:eastAsia="TimesNewRomanPSMT" w:cs="Times New Roman"/>
          <w:i/>
          <w:iCs/>
          <w:szCs w:val="20"/>
        </w:rPr>
        <w:t>Personality and Social Psychology Bulletin</w:t>
      </w:r>
      <w:r w:rsidRPr="008157BA">
        <w:rPr>
          <w:rFonts w:eastAsia="TimesNewRomanPSMT" w:cs="Times New Roman"/>
          <w:szCs w:val="20"/>
        </w:rPr>
        <w:t xml:space="preserve">, </w:t>
      </w:r>
      <w:r w:rsidRPr="008157BA">
        <w:rPr>
          <w:rFonts w:eastAsia="TimesNewRomanPSMT" w:cs="Times New Roman"/>
          <w:i/>
          <w:iCs/>
          <w:szCs w:val="20"/>
        </w:rPr>
        <w:t>20</w:t>
      </w:r>
      <w:r w:rsidRPr="008157BA">
        <w:rPr>
          <w:rFonts w:eastAsia="TimesNewRomanPSMT" w:cs="Times New Roman"/>
          <w:szCs w:val="20"/>
        </w:rPr>
        <w:t xml:space="preserve">, 580-591. </w:t>
      </w:r>
      <w:r w:rsidRPr="008157BA">
        <w:rPr>
          <w:rFonts w:cs="Times New Roman"/>
          <w:szCs w:val="20"/>
        </w:rPr>
        <w:t>https://doi.org/</w:t>
      </w:r>
      <w:r w:rsidRPr="008157BA">
        <w:rPr>
          <w:rFonts w:eastAsia="TimesNewRomanPSMT" w:cs="Times New Roman"/>
          <w:szCs w:val="20"/>
        </w:rPr>
        <w:t>10.1177/0146167294205014</w:t>
      </w:r>
    </w:p>
    <w:p w14:paraId="76AC7A79" w14:textId="77777777" w:rsidR="008157BA" w:rsidRPr="008157BA" w:rsidRDefault="008157BA" w:rsidP="008157BA">
      <w:pPr>
        <w:widowControl w:val="0"/>
        <w:autoSpaceDE w:val="0"/>
        <w:autoSpaceDN w:val="0"/>
        <w:adjustRightInd w:val="0"/>
        <w:spacing w:line="360" w:lineRule="auto"/>
        <w:ind w:left="720" w:hanging="720"/>
        <w:rPr>
          <w:rFonts w:cs="Times New Roman"/>
          <w:szCs w:val="20"/>
        </w:rPr>
      </w:pPr>
      <w:r w:rsidRPr="008157BA">
        <w:rPr>
          <w:rFonts w:eastAsia="TimesNewRomanPSMT" w:cs="Times New Roman"/>
          <w:szCs w:val="20"/>
        </w:rPr>
        <w:t xml:space="preserve">Stein, G. L., Mejia, Y., Gonzalez, L. M., Kiang, L., &amp; Supple, A. J. (2020). </w:t>
      </w:r>
      <w:proofErr w:type="spellStart"/>
      <w:r w:rsidRPr="008157BA">
        <w:rPr>
          <w:rFonts w:eastAsia="TimesNewRomanPSMT" w:cs="Times New Roman"/>
          <w:szCs w:val="20"/>
        </w:rPr>
        <w:t>Familism</w:t>
      </w:r>
      <w:proofErr w:type="spellEnd"/>
      <w:r w:rsidRPr="008157BA">
        <w:rPr>
          <w:rFonts w:eastAsia="TimesNewRomanPSMT" w:cs="Times New Roman"/>
          <w:szCs w:val="20"/>
        </w:rPr>
        <w:t xml:space="preserve"> in action in an emerging immigrant community: An examination of indirect effects in early adolescence. </w:t>
      </w:r>
      <w:r w:rsidRPr="008157BA">
        <w:rPr>
          <w:rFonts w:eastAsia="TimesNewRomanPSMT" w:cs="Times New Roman"/>
          <w:i/>
          <w:szCs w:val="20"/>
        </w:rPr>
        <w:t>Developmental Psychology, 56</w:t>
      </w:r>
      <w:r w:rsidRPr="008157BA">
        <w:rPr>
          <w:rFonts w:eastAsia="TimesNewRomanPSMT" w:cs="Times New Roman"/>
          <w:szCs w:val="20"/>
        </w:rPr>
        <w:t xml:space="preserve">(8), 1475-1483. </w:t>
      </w:r>
      <w:r w:rsidRPr="008157BA">
        <w:rPr>
          <w:rFonts w:cs="Times New Roman"/>
          <w:szCs w:val="20"/>
        </w:rPr>
        <w:t>http://dx.doi.org/10.1037/dev0000791</w:t>
      </w:r>
    </w:p>
    <w:p w14:paraId="51E37415"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Stephens, N. M., Fryberg, S. A., Markus, H. R., Johnson, C. S., &amp; Covarrubias, R. (2012). Unseen disadvantage: American universities’ focus on independence undermines the academic performance of first-generation college students. </w:t>
      </w:r>
      <w:r w:rsidRPr="008157BA">
        <w:rPr>
          <w:rFonts w:ascii="Times New Roman" w:hAnsi="Times New Roman"/>
          <w:i/>
          <w:sz w:val="20"/>
          <w:szCs w:val="20"/>
        </w:rPr>
        <w:t>Journal of Personality and Social Psychology, 102</w:t>
      </w:r>
      <w:r w:rsidRPr="008157BA">
        <w:rPr>
          <w:rFonts w:ascii="Times New Roman" w:hAnsi="Times New Roman"/>
          <w:sz w:val="20"/>
          <w:szCs w:val="20"/>
        </w:rPr>
        <w:t xml:space="preserve">(6), 1178-1197. </w:t>
      </w:r>
      <w:hyperlink r:id="rId29" w:history="1">
        <w:r w:rsidRPr="008157BA">
          <w:rPr>
            <w:rStyle w:val="Kpr"/>
            <w:rFonts w:ascii="Times New Roman" w:hAnsi="Times New Roman"/>
            <w:color w:val="auto"/>
            <w:sz w:val="20"/>
            <w:szCs w:val="20"/>
            <w:u w:val="none"/>
          </w:rPr>
          <w:t>https://doi.org/10.1037/a0027143</w:t>
        </w:r>
      </w:hyperlink>
    </w:p>
    <w:p w14:paraId="1DE93AD9"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Stephens, N. M., Townsend, S. S. M., &amp; </w:t>
      </w:r>
      <w:proofErr w:type="spellStart"/>
      <w:r w:rsidRPr="008157BA">
        <w:rPr>
          <w:rFonts w:ascii="Times New Roman" w:hAnsi="Times New Roman"/>
          <w:sz w:val="20"/>
          <w:szCs w:val="20"/>
        </w:rPr>
        <w:t>Dittmann</w:t>
      </w:r>
      <w:proofErr w:type="spellEnd"/>
      <w:r w:rsidRPr="008157BA">
        <w:rPr>
          <w:rFonts w:ascii="Times New Roman" w:hAnsi="Times New Roman"/>
          <w:sz w:val="20"/>
          <w:szCs w:val="20"/>
        </w:rPr>
        <w:t xml:space="preserve">, A. G. (2019). Social-class disparities in higher education and professional workplaces: The role of cultural mismatch. </w:t>
      </w:r>
      <w:r w:rsidRPr="008157BA">
        <w:rPr>
          <w:rFonts w:ascii="Times New Roman" w:hAnsi="Times New Roman"/>
          <w:i/>
          <w:sz w:val="20"/>
          <w:szCs w:val="20"/>
        </w:rPr>
        <w:t>Current Directions in Psychological Science, 28</w:t>
      </w:r>
      <w:r w:rsidRPr="008157BA">
        <w:rPr>
          <w:rFonts w:ascii="Times New Roman" w:hAnsi="Times New Roman"/>
          <w:sz w:val="20"/>
          <w:szCs w:val="20"/>
        </w:rPr>
        <w:t xml:space="preserve">(1), 67-73. </w:t>
      </w:r>
      <w:hyperlink r:id="rId30" w:history="1">
        <w:r w:rsidRPr="008157BA">
          <w:rPr>
            <w:rStyle w:val="Kpr"/>
            <w:rFonts w:ascii="Times New Roman" w:hAnsi="Times New Roman"/>
            <w:color w:val="auto"/>
            <w:sz w:val="20"/>
            <w:szCs w:val="20"/>
            <w:u w:val="none"/>
          </w:rPr>
          <w:t>https://doi.org/10.1177/0963721418806506</w:t>
        </w:r>
      </w:hyperlink>
    </w:p>
    <w:p w14:paraId="17835BEB" w14:textId="77777777" w:rsidR="008157BA" w:rsidRPr="008157BA" w:rsidRDefault="008157BA" w:rsidP="008157BA">
      <w:pPr>
        <w:pStyle w:val="AralkYok"/>
        <w:widowControl w:val="0"/>
        <w:suppressAutoHyphens/>
        <w:spacing w:line="360" w:lineRule="auto"/>
        <w:ind w:left="720" w:hanging="720"/>
        <w:jc w:val="both"/>
        <w:rPr>
          <w:rStyle w:val="Kpr"/>
          <w:rFonts w:ascii="Times New Roman" w:hAnsi="Times New Roman"/>
          <w:color w:val="auto"/>
          <w:sz w:val="20"/>
          <w:szCs w:val="20"/>
          <w:u w:val="none"/>
        </w:rPr>
      </w:pPr>
      <w:r w:rsidRPr="008157BA">
        <w:rPr>
          <w:rFonts w:ascii="Times New Roman" w:hAnsi="Times New Roman"/>
          <w:sz w:val="20"/>
          <w:szCs w:val="20"/>
        </w:rPr>
        <w:t xml:space="preserve">Taggart, A. (2017). The role of cultural discontinuity in the academic outcomes of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high school students. </w:t>
      </w:r>
      <w:r w:rsidRPr="008157BA">
        <w:rPr>
          <w:rFonts w:ascii="Times New Roman" w:hAnsi="Times New Roman"/>
          <w:i/>
          <w:sz w:val="20"/>
          <w:szCs w:val="20"/>
        </w:rPr>
        <w:t>Education and Urban Society, 49</w:t>
      </w:r>
      <w:r w:rsidRPr="008157BA">
        <w:rPr>
          <w:rFonts w:ascii="Times New Roman" w:hAnsi="Times New Roman"/>
          <w:sz w:val="20"/>
          <w:szCs w:val="20"/>
        </w:rPr>
        <w:t xml:space="preserve">(8), 731-761. </w:t>
      </w:r>
      <w:hyperlink r:id="rId31" w:history="1">
        <w:r w:rsidRPr="008157BA">
          <w:rPr>
            <w:rStyle w:val="Kpr"/>
            <w:rFonts w:ascii="Times New Roman" w:hAnsi="Times New Roman"/>
            <w:color w:val="auto"/>
            <w:sz w:val="20"/>
            <w:szCs w:val="20"/>
            <w:u w:val="none"/>
          </w:rPr>
          <w:t>https://doi.org/10.1177/0013124516658522</w:t>
        </w:r>
      </w:hyperlink>
    </w:p>
    <w:p w14:paraId="256A0BFB"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Taggart, A. (2018). Latina/o students in K-12 schools: A synthesis of empirical research on factors influencing academic achievement. </w:t>
      </w:r>
      <w:r w:rsidRPr="008157BA">
        <w:rPr>
          <w:rFonts w:ascii="Times New Roman" w:hAnsi="Times New Roman"/>
          <w:i/>
          <w:sz w:val="20"/>
          <w:szCs w:val="20"/>
        </w:rPr>
        <w:t>Hispanic Journal of Behavioral Sciences, 40</w:t>
      </w:r>
      <w:r w:rsidRPr="008157BA">
        <w:rPr>
          <w:rFonts w:ascii="Times New Roman" w:hAnsi="Times New Roman"/>
          <w:sz w:val="20"/>
          <w:szCs w:val="20"/>
        </w:rPr>
        <w:t>(4), 448-471. https://doi.org/10.1177/0739986318793810</w:t>
      </w:r>
    </w:p>
    <w:p w14:paraId="705A6C34"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Taggart, A., &amp; Paschal, J. (2019). The influence of equitable treatment on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high school students’ college aspirations. </w:t>
      </w:r>
      <w:r w:rsidRPr="008157BA">
        <w:rPr>
          <w:rFonts w:ascii="Times New Roman" w:hAnsi="Times New Roman"/>
          <w:i/>
          <w:sz w:val="20"/>
          <w:szCs w:val="20"/>
        </w:rPr>
        <w:t>Journal of Latinos and Education, 18</w:t>
      </w:r>
      <w:r w:rsidRPr="008157BA">
        <w:rPr>
          <w:rFonts w:ascii="Times New Roman" w:hAnsi="Times New Roman"/>
          <w:sz w:val="20"/>
          <w:szCs w:val="20"/>
        </w:rPr>
        <w:t>(4), 316-327. https://doi.org/10.1080/15348431.2017.1390465</w:t>
      </w:r>
    </w:p>
    <w:p w14:paraId="57F606CB"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Torrez, D. D. (2017). Cultural discontinuity between </w:t>
      </w:r>
      <w:proofErr w:type="gramStart"/>
      <w:r w:rsidRPr="008157BA">
        <w:rPr>
          <w:rFonts w:ascii="Times New Roman" w:hAnsi="Times New Roman"/>
          <w:sz w:val="20"/>
          <w:szCs w:val="20"/>
        </w:rPr>
        <w:t>home and school</w:t>
      </w:r>
      <w:proofErr w:type="gramEnd"/>
      <w:r w:rsidRPr="008157BA">
        <w:rPr>
          <w:rFonts w:ascii="Times New Roman" w:hAnsi="Times New Roman"/>
          <w:sz w:val="20"/>
          <w:szCs w:val="20"/>
        </w:rPr>
        <w:t xml:space="preserve"> and American Indian and Alaska Native children’s achievement. </w:t>
      </w:r>
      <w:r w:rsidRPr="008157BA">
        <w:rPr>
          <w:rFonts w:ascii="Times New Roman" w:hAnsi="Times New Roman"/>
          <w:i/>
          <w:sz w:val="20"/>
          <w:szCs w:val="20"/>
        </w:rPr>
        <w:t>The Journal of Educational Research, 110</w:t>
      </w:r>
      <w:r w:rsidRPr="008157BA">
        <w:rPr>
          <w:rFonts w:ascii="Times New Roman" w:hAnsi="Times New Roman"/>
          <w:sz w:val="20"/>
          <w:szCs w:val="20"/>
        </w:rPr>
        <w:t xml:space="preserve">(4), 331-347. </w:t>
      </w:r>
      <w:hyperlink r:id="rId32" w:history="1">
        <w:r w:rsidRPr="008157BA">
          <w:rPr>
            <w:rStyle w:val="Kpr"/>
            <w:rFonts w:ascii="Times New Roman" w:hAnsi="Times New Roman"/>
            <w:color w:val="auto"/>
            <w:sz w:val="20"/>
            <w:szCs w:val="20"/>
            <w:u w:val="none"/>
          </w:rPr>
          <w:t>https://dx.doi.org/10.1080/00220671.2015.1103686</w:t>
        </w:r>
      </w:hyperlink>
    </w:p>
    <w:p w14:paraId="146F75FC"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cs="Times New Roman"/>
          <w:szCs w:val="20"/>
        </w:rPr>
        <w:t xml:space="preserve">Tyler, K. M., Boykin, A. W., Miller, O., &amp; Hurley, E. (2006). Cultural values in the home and school experiences </w:t>
      </w:r>
      <w:r w:rsidRPr="008157BA">
        <w:rPr>
          <w:rFonts w:cs="Times New Roman"/>
          <w:szCs w:val="20"/>
        </w:rPr>
        <w:lastRenderedPageBreak/>
        <w:t xml:space="preserve">of low-income African-American students. </w:t>
      </w:r>
      <w:r w:rsidRPr="008157BA">
        <w:rPr>
          <w:rFonts w:cs="Times New Roman"/>
          <w:i/>
          <w:iCs/>
          <w:szCs w:val="20"/>
        </w:rPr>
        <w:t>Social Psychology of Education, 9</w:t>
      </w:r>
      <w:r w:rsidRPr="008157BA">
        <w:rPr>
          <w:rFonts w:cs="Times New Roman"/>
          <w:szCs w:val="20"/>
        </w:rPr>
        <w:t>, 363-380. https://doi.org/10.1007/s11218-006-9003-x</w:t>
      </w:r>
    </w:p>
    <w:p w14:paraId="130E0F07"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Tyler, K. M., Boykin, A. W., &amp; Walton, T. R. (2006). Cultural considerations in teachers’ perceptions of student classroom behavior and achievement. </w:t>
      </w:r>
      <w:r w:rsidRPr="008157BA">
        <w:rPr>
          <w:rFonts w:eastAsia="TimesNewRomanPSMT" w:cs="Times New Roman"/>
          <w:i/>
          <w:iCs/>
          <w:szCs w:val="20"/>
        </w:rPr>
        <w:t>Teaching and Teacher Education</w:t>
      </w:r>
      <w:r w:rsidRPr="008157BA">
        <w:rPr>
          <w:rFonts w:eastAsia="TimesNewRomanPSMT" w:cs="Times New Roman"/>
          <w:szCs w:val="20"/>
        </w:rPr>
        <w:t xml:space="preserve">, </w:t>
      </w:r>
      <w:r w:rsidRPr="008157BA">
        <w:rPr>
          <w:rFonts w:eastAsia="TimesNewRomanPSMT" w:cs="Times New Roman"/>
          <w:i/>
          <w:iCs/>
          <w:szCs w:val="20"/>
        </w:rPr>
        <w:t>22</w:t>
      </w:r>
      <w:r w:rsidRPr="008157BA">
        <w:rPr>
          <w:rFonts w:eastAsia="TimesNewRomanPSMT" w:cs="Times New Roman"/>
          <w:szCs w:val="20"/>
        </w:rPr>
        <w:t xml:space="preserve">, 998-1005. </w:t>
      </w:r>
      <w:r w:rsidRPr="008157BA">
        <w:rPr>
          <w:rFonts w:cs="Times New Roman"/>
          <w:szCs w:val="20"/>
        </w:rPr>
        <w:t>https://doi.org/</w:t>
      </w:r>
      <w:r w:rsidRPr="008157BA">
        <w:rPr>
          <w:rFonts w:eastAsia="TimesNewRomanPSMT" w:cs="Times New Roman"/>
          <w:szCs w:val="20"/>
        </w:rPr>
        <w:t>10.1016/j.tate.2006.04.017</w:t>
      </w:r>
    </w:p>
    <w:p w14:paraId="1D634827" w14:textId="77777777" w:rsidR="008157BA" w:rsidRPr="008157BA" w:rsidRDefault="008157BA" w:rsidP="008157BA">
      <w:pPr>
        <w:pStyle w:val="Default"/>
        <w:widowControl w:val="0"/>
        <w:suppressAutoHyphens/>
        <w:spacing w:line="360" w:lineRule="auto"/>
        <w:ind w:left="720" w:hanging="720"/>
        <w:jc w:val="both"/>
        <w:rPr>
          <w:rFonts w:ascii="Times New Roman" w:eastAsia="TimesNewRomanPSMT" w:hAnsi="Times New Roman" w:cs="Times New Roman"/>
          <w:color w:val="auto"/>
          <w:sz w:val="20"/>
          <w:szCs w:val="20"/>
          <w:lang w:val="en-US"/>
        </w:rPr>
      </w:pPr>
      <w:r w:rsidRPr="008157BA">
        <w:rPr>
          <w:rFonts w:ascii="Times New Roman" w:hAnsi="Times New Roman" w:cs="Times New Roman"/>
          <w:color w:val="auto"/>
          <w:sz w:val="20"/>
          <w:szCs w:val="20"/>
          <w:lang w:val="en-US"/>
        </w:rPr>
        <w:t xml:space="preserve">Tyler, K. M., </w:t>
      </w:r>
      <w:proofErr w:type="spellStart"/>
      <w:r w:rsidRPr="008157BA">
        <w:rPr>
          <w:rFonts w:ascii="Times New Roman" w:hAnsi="Times New Roman" w:cs="Times New Roman"/>
          <w:color w:val="auto"/>
          <w:sz w:val="20"/>
          <w:szCs w:val="20"/>
          <w:lang w:val="en-US"/>
        </w:rPr>
        <w:t>Uqdah</w:t>
      </w:r>
      <w:proofErr w:type="spellEnd"/>
      <w:r w:rsidRPr="008157BA">
        <w:rPr>
          <w:rFonts w:ascii="Times New Roman" w:hAnsi="Times New Roman" w:cs="Times New Roman"/>
          <w:color w:val="auto"/>
          <w:sz w:val="20"/>
          <w:szCs w:val="20"/>
          <w:lang w:val="en-US"/>
        </w:rPr>
        <w:t xml:space="preserve">, A. L., </w:t>
      </w:r>
      <w:proofErr w:type="spellStart"/>
      <w:r w:rsidRPr="008157BA">
        <w:rPr>
          <w:rFonts w:ascii="Times New Roman" w:hAnsi="Times New Roman" w:cs="Times New Roman"/>
          <w:color w:val="auto"/>
          <w:sz w:val="20"/>
          <w:szCs w:val="20"/>
          <w:lang w:val="en-US"/>
        </w:rPr>
        <w:t>Dillihunt</w:t>
      </w:r>
      <w:proofErr w:type="spellEnd"/>
      <w:r w:rsidRPr="008157BA">
        <w:rPr>
          <w:rFonts w:ascii="Times New Roman" w:hAnsi="Times New Roman" w:cs="Times New Roman"/>
          <w:color w:val="auto"/>
          <w:sz w:val="20"/>
          <w:szCs w:val="20"/>
          <w:lang w:val="en-US"/>
        </w:rPr>
        <w:t>, M. L., Beatty-</w:t>
      </w:r>
      <w:proofErr w:type="spellStart"/>
      <w:r w:rsidRPr="008157BA">
        <w:rPr>
          <w:rFonts w:ascii="Times New Roman" w:hAnsi="Times New Roman" w:cs="Times New Roman"/>
          <w:color w:val="auto"/>
          <w:sz w:val="20"/>
          <w:szCs w:val="20"/>
          <w:lang w:val="en-US"/>
        </w:rPr>
        <w:t>Hazelbaker</w:t>
      </w:r>
      <w:proofErr w:type="spellEnd"/>
      <w:r w:rsidRPr="008157BA">
        <w:rPr>
          <w:rFonts w:ascii="Times New Roman" w:hAnsi="Times New Roman" w:cs="Times New Roman"/>
          <w:color w:val="auto"/>
          <w:sz w:val="20"/>
          <w:szCs w:val="20"/>
          <w:lang w:val="en-US"/>
        </w:rPr>
        <w:t xml:space="preserve">, R., Conner, T., Gadson, N., Henchy, A., Hughes, T., Mulder, S., Owens, E., Roan-Belle, C., Smith, L., &amp; Stevens, R. (2008). Cultural discontinuity: Toward a quantitative investigation of a major hypothesis in education. </w:t>
      </w:r>
      <w:r w:rsidRPr="008157BA">
        <w:rPr>
          <w:rFonts w:ascii="Times New Roman" w:hAnsi="Times New Roman" w:cs="Times New Roman"/>
          <w:i/>
          <w:iCs/>
          <w:color w:val="auto"/>
          <w:sz w:val="20"/>
          <w:szCs w:val="20"/>
          <w:lang w:val="en-US"/>
        </w:rPr>
        <w:t>Educational Researcher, 37</w:t>
      </w:r>
      <w:r w:rsidRPr="008157BA">
        <w:rPr>
          <w:rFonts w:ascii="Times New Roman" w:hAnsi="Times New Roman" w:cs="Times New Roman"/>
          <w:color w:val="auto"/>
          <w:sz w:val="20"/>
          <w:szCs w:val="20"/>
          <w:lang w:val="en-US"/>
        </w:rPr>
        <w:t>(5), 280-297. https://doi.org/10.3102/0013189X08321459</w:t>
      </w:r>
    </w:p>
    <w:p w14:paraId="04D3B406" w14:textId="77777777" w:rsidR="008157BA" w:rsidRPr="008157BA" w:rsidRDefault="008157BA" w:rsidP="008157BA">
      <w:pPr>
        <w:widowControl w:val="0"/>
        <w:autoSpaceDE w:val="0"/>
        <w:autoSpaceDN w:val="0"/>
        <w:adjustRightInd w:val="0"/>
        <w:spacing w:line="360" w:lineRule="auto"/>
        <w:ind w:left="720" w:hanging="720"/>
        <w:rPr>
          <w:rFonts w:eastAsia="TimesNewRomanPSMT" w:cs="Times New Roman"/>
          <w:szCs w:val="20"/>
        </w:rPr>
      </w:pPr>
      <w:r w:rsidRPr="008157BA">
        <w:rPr>
          <w:rFonts w:eastAsia="TimesNewRomanPSMT" w:cs="Times New Roman"/>
          <w:szCs w:val="20"/>
        </w:rPr>
        <w:t xml:space="preserve">Valle, M. S., Diaz, Z., Waxman, H. C., &amp; </w:t>
      </w:r>
      <w:proofErr w:type="spellStart"/>
      <w:r w:rsidRPr="008157BA">
        <w:rPr>
          <w:rFonts w:eastAsia="TimesNewRomanPSMT" w:cs="Times New Roman"/>
          <w:szCs w:val="20"/>
        </w:rPr>
        <w:t>Padrón</w:t>
      </w:r>
      <w:proofErr w:type="spellEnd"/>
      <w:r w:rsidRPr="008157BA">
        <w:rPr>
          <w:rFonts w:eastAsia="TimesNewRomanPSMT" w:cs="Times New Roman"/>
          <w:szCs w:val="20"/>
        </w:rPr>
        <w:t xml:space="preserve">, Y. N. (2013). Classroom instruction and the mathematics achievement of non-English learners and English learners. </w:t>
      </w:r>
      <w:r w:rsidRPr="008157BA">
        <w:rPr>
          <w:rFonts w:eastAsia="TimesNewRomanPSMT" w:cs="Times New Roman"/>
          <w:i/>
          <w:iCs/>
          <w:szCs w:val="20"/>
        </w:rPr>
        <w:t>The Journal of Educational Research</w:t>
      </w:r>
      <w:r w:rsidRPr="008157BA">
        <w:rPr>
          <w:rFonts w:eastAsia="TimesNewRomanPSMT" w:cs="Times New Roman"/>
          <w:szCs w:val="20"/>
        </w:rPr>
        <w:t xml:space="preserve">, </w:t>
      </w:r>
      <w:r w:rsidRPr="008157BA">
        <w:rPr>
          <w:rFonts w:eastAsia="TimesNewRomanPSMT" w:cs="Times New Roman"/>
          <w:i/>
          <w:iCs/>
          <w:szCs w:val="20"/>
        </w:rPr>
        <w:t>106</w:t>
      </w:r>
      <w:r w:rsidRPr="008157BA">
        <w:rPr>
          <w:rFonts w:eastAsia="TimesNewRomanPSMT" w:cs="Times New Roman"/>
          <w:szCs w:val="20"/>
        </w:rPr>
        <w:t xml:space="preserve">, 173-182. </w:t>
      </w:r>
      <w:r w:rsidRPr="008157BA">
        <w:rPr>
          <w:rFonts w:cs="Times New Roman"/>
          <w:szCs w:val="20"/>
        </w:rPr>
        <w:t>https://doi.org/</w:t>
      </w:r>
      <w:r w:rsidRPr="008157BA">
        <w:rPr>
          <w:rFonts w:eastAsia="TimesNewRomanPSMT" w:cs="Times New Roman"/>
          <w:szCs w:val="20"/>
        </w:rPr>
        <w:t>10.1080/00220671.2012.687789</w:t>
      </w:r>
    </w:p>
    <w:p w14:paraId="48ADF1F7" w14:textId="77777777" w:rsidR="008157BA" w:rsidRPr="008157BA" w:rsidRDefault="008157BA" w:rsidP="008157BA">
      <w:pPr>
        <w:pStyle w:val="AralkYok"/>
        <w:widowControl w:val="0"/>
        <w:suppressAutoHyphens/>
        <w:spacing w:line="360" w:lineRule="auto"/>
        <w:ind w:left="720" w:hanging="720"/>
        <w:jc w:val="both"/>
        <w:rPr>
          <w:rStyle w:val="Kpr"/>
          <w:rFonts w:ascii="Times New Roman" w:hAnsi="Times New Roman"/>
          <w:color w:val="auto"/>
          <w:sz w:val="20"/>
          <w:szCs w:val="20"/>
          <w:u w:val="none"/>
        </w:rPr>
      </w:pPr>
      <w:r w:rsidRPr="008157BA">
        <w:rPr>
          <w:rFonts w:ascii="Times New Roman" w:hAnsi="Times New Roman"/>
          <w:sz w:val="20"/>
          <w:szCs w:val="20"/>
        </w:rPr>
        <w:t xml:space="preserve">Vasquez-Salgado, Y., Greenfield, P. M., &amp; Burgos-Cienfuegos, R. (2015). Exploring home-school value conflicts: Implications for academic achievement and well-being among Latino first-generation college students. </w:t>
      </w:r>
      <w:r w:rsidRPr="008157BA">
        <w:rPr>
          <w:rFonts w:ascii="Times New Roman" w:hAnsi="Times New Roman"/>
          <w:i/>
          <w:sz w:val="20"/>
          <w:szCs w:val="20"/>
        </w:rPr>
        <w:t>Journal of Adolescent Research, 30</w:t>
      </w:r>
      <w:r w:rsidRPr="008157BA">
        <w:rPr>
          <w:rFonts w:ascii="Times New Roman" w:hAnsi="Times New Roman"/>
          <w:sz w:val="20"/>
          <w:szCs w:val="20"/>
        </w:rPr>
        <w:t xml:space="preserve">(3), 271-305. </w:t>
      </w:r>
      <w:hyperlink r:id="rId33" w:history="1">
        <w:r w:rsidRPr="008157BA">
          <w:rPr>
            <w:rStyle w:val="Kpr"/>
            <w:rFonts w:ascii="Times New Roman" w:hAnsi="Times New Roman"/>
            <w:color w:val="auto"/>
            <w:sz w:val="20"/>
            <w:szCs w:val="20"/>
            <w:u w:val="none"/>
          </w:rPr>
          <w:t>https://doi.org/10.1177/0743558414561297</w:t>
        </w:r>
      </w:hyperlink>
    </w:p>
    <w:p w14:paraId="54287BE1" w14:textId="77777777" w:rsidR="008157BA" w:rsidRPr="008157BA" w:rsidRDefault="008157BA" w:rsidP="008157BA">
      <w:pPr>
        <w:widowControl w:val="0"/>
        <w:autoSpaceDE w:val="0"/>
        <w:autoSpaceDN w:val="0"/>
        <w:adjustRightInd w:val="0"/>
        <w:spacing w:line="360" w:lineRule="auto"/>
        <w:ind w:left="720" w:hanging="720"/>
        <w:rPr>
          <w:rStyle w:val="Kpr"/>
          <w:rFonts w:cs="Times New Roman"/>
          <w:color w:val="auto"/>
          <w:szCs w:val="20"/>
          <w:u w:val="none"/>
        </w:rPr>
      </w:pPr>
      <w:proofErr w:type="spellStart"/>
      <w:r w:rsidRPr="008157BA">
        <w:rPr>
          <w:rFonts w:eastAsia="TimesNewRomanPSMT" w:cs="Times New Roman"/>
          <w:szCs w:val="20"/>
        </w:rPr>
        <w:t>Warikoo</w:t>
      </w:r>
      <w:proofErr w:type="spellEnd"/>
      <w:r w:rsidRPr="008157BA">
        <w:rPr>
          <w:rFonts w:eastAsia="TimesNewRomanPSMT" w:cs="Times New Roman"/>
          <w:szCs w:val="20"/>
        </w:rPr>
        <w:t xml:space="preserve">, N., &amp; Carter, P. (2009). Cultural explanations for racial and ethnic stratification in academic achievement: A call for a new and improved theory. </w:t>
      </w:r>
      <w:r w:rsidRPr="008157BA">
        <w:rPr>
          <w:rFonts w:eastAsia="TimesNewRomanPSMT" w:cs="Times New Roman"/>
          <w:i/>
          <w:iCs/>
          <w:szCs w:val="20"/>
        </w:rPr>
        <w:t>Review of Educational Research</w:t>
      </w:r>
      <w:r w:rsidRPr="008157BA">
        <w:rPr>
          <w:rFonts w:eastAsia="TimesNewRomanPSMT" w:cs="Times New Roman"/>
          <w:szCs w:val="20"/>
        </w:rPr>
        <w:t xml:space="preserve">, </w:t>
      </w:r>
      <w:r w:rsidRPr="008157BA">
        <w:rPr>
          <w:rFonts w:eastAsia="TimesNewRomanPSMT" w:cs="Times New Roman"/>
          <w:i/>
          <w:iCs/>
          <w:szCs w:val="20"/>
        </w:rPr>
        <w:t>79</w:t>
      </w:r>
      <w:r w:rsidRPr="008157BA">
        <w:rPr>
          <w:rFonts w:eastAsia="TimesNewRomanPSMT" w:cs="Times New Roman"/>
          <w:szCs w:val="20"/>
        </w:rPr>
        <w:t>, 366-394.</w:t>
      </w:r>
    </w:p>
    <w:p w14:paraId="302536D7"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Wheeler, L. A., </w:t>
      </w:r>
      <w:proofErr w:type="spellStart"/>
      <w:r w:rsidRPr="008157BA">
        <w:rPr>
          <w:rFonts w:ascii="Times New Roman" w:hAnsi="Times New Roman"/>
          <w:sz w:val="20"/>
          <w:szCs w:val="20"/>
        </w:rPr>
        <w:t>Zeiders</w:t>
      </w:r>
      <w:proofErr w:type="spellEnd"/>
      <w:r w:rsidRPr="008157BA">
        <w:rPr>
          <w:rFonts w:ascii="Times New Roman" w:hAnsi="Times New Roman"/>
          <w:sz w:val="20"/>
          <w:szCs w:val="20"/>
        </w:rPr>
        <w:t xml:space="preserve">, K. H., </w:t>
      </w:r>
      <w:proofErr w:type="spellStart"/>
      <w:r w:rsidRPr="008157BA">
        <w:rPr>
          <w:rFonts w:ascii="Times New Roman" w:hAnsi="Times New Roman"/>
          <w:sz w:val="20"/>
          <w:szCs w:val="20"/>
        </w:rPr>
        <w:t>Updegraff</w:t>
      </w:r>
      <w:proofErr w:type="spellEnd"/>
      <w:r w:rsidRPr="008157BA">
        <w:rPr>
          <w:rFonts w:ascii="Times New Roman" w:hAnsi="Times New Roman"/>
          <w:sz w:val="20"/>
          <w:szCs w:val="20"/>
        </w:rPr>
        <w:t xml:space="preserve">, K. A., </w:t>
      </w:r>
      <w:proofErr w:type="spellStart"/>
      <w:r w:rsidRPr="008157BA">
        <w:rPr>
          <w:rFonts w:ascii="Times New Roman" w:hAnsi="Times New Roman"/>
          <w:sz w:val="20"/>
          <w:szCs w:val="20"/>
        </w:rPr>
        <w:t>Umaña</w:t>
      </w:r>
      <w:proofErr w:type="spellEnd"/>
      <w:r w:rsidRPr="008157BA">
        <w:rPr>
          <w:rFonts w:ascii="Times New Roman" w:hAnsi="Times New Roman"/>
          <w:sz w:val="20"/>
          <w:szCs w:val="20"/>
        </w:rPr>
        <w:t xml:space="preserve">-Taylor, A. J., Rodríguez de </w:t>
      </w:r>
      <w:proofErr w:type="spellStart"/>
      <w:r w:rsidRPr="008157BA">
        <w:rPr>
          <w:rFonts w:ascii="Times New Roman" w:hAnsi="Times New Roman"/>
          <w:sz w:val="20"/>
          <w:szCs w:val="20"/>
        </w:rPr>
        <w:t>Jesús</w:t>
      </w:r>
      <w:proofErr w:type="spellEnd"/>
      <w:r w:rsidRPr="008157BA">
        <w:rPr>
          <w:rFonts w:ascii="Times New Roman" w:hAnsi="Times New Roman"/>
          <w:sz w:val="20"/>
          <w:szCs w:val="20"/>
        </w:rPr>
        <w:t>, S. A., &amp; Perez-</w:t>
      </w:r>
      <w:proofErr w:type="spellStart"/>
      <w:r w:rsidRPr="008157BA">
        <w:rPr>
          <w:rFonts w:ascii="Times New Roman" w:hAnsi="Times New Roman"/>
          <w:sz w:val="20"/>
          <w:szCs w:val="20"/>
        </w:rPr>
        <w:t>Brena</w:t>
      </w:r>
      <w:proofErr w:type="spellEnd"/>
      <w:r w:rsidRPr="008157BA">
        <w:rPr>
          <w:rFonts w:ascii="Times New Roman" w:hAnsi="Times New Roman"/>
          <w:sz w:val="20"/>
          <w:szCs w:val="20"/>
        </w:rPr>
        <w:t xml:space="preserve">, N. J. (2017). Mexican-origin youth’s risk behavior from adolescence to young adulthood: The role of </w:t>
      </w:r>
      <w:proofErr w:type="spellStart"/>
      <w:r w:rsidRPr="008157BA">
        <w:rPr>
          <w:rFonts w:ascii="Times New Roman" w:hAnsi="Times New Roman"/>
          <w:sz w:val="20"/>
          <w:szCs w:val="20"/>
        </w:rPr>
        <w:t>familism</w:t>
      </w:r>
      <w:proofErr w:type="spellEnd"/>
      <w:r w:rsidRPr="008157BA">
        <w:rPr>
          <w:rFonts w:ascii="Times New Roman" w:hAnsi="Times New Roman"/>
          <w:sz w:val="20"/>
          <w:szCs w:val="20"/>
        </w:rPr>
        <w:t xml:space="preserve"> values. </w:t>
      </w:r>
      <w:r w:rsidRPr="008157BA">
        <w:rPr>
          <w:rFonts w:ascii="Times New Roman" w:hAnsi="Times New Roman"/>
          <w:i/>
          <w:sz w:val="20"/>
          <w:szCs w:val="20"/>
        </w:rPr>
        <w:t>Developmental Psychology, 53</w:t>
      </w:r>
      <w:r w:rsidRPr="008157BA">
        <w:rPr>
          <w:rFonts w:ascii="Times New Roman" w:hAnsi="Times New Roman"/>
          <w:sz w:val="20"/>
          <w:szCs w:val="20"/>
        </w:rPr>
        <w:t>(1), 126-137. http://dx.doi.org/10.1037/dev0000251</w:t>
      </w:r>
    </w:p>
    <w:p w14:paraId="1EB59041"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proofErr w:type="spellStart"/>
      <w:r w:rsidRPr="008157BA">
        <w:rPr>
          <w:rFonts w:ascii="Times New Roman" w:hAnsi="Times New Roman"/>
          <w:sz w:val="20"/>
          <w:szCs w:val="20"/>
        </w:rPr>
        <w:t>Witenko</w:t>
      </w:r>
      <w:proofErr w:type="spellEnd"/>
      <w:r w:rsidRPr="008157BA">
        <w:rPr>
          <w:rFonts w:ascii="Times New Roman" w:hAnsi="Times New Roman"/>
          <w:sz w:val="20"/>
          <w:szCs w:val="20"/>
        </w:rPr>
        <w:t xml:space="preserve">, V., Mireles-Rios, R., &amp; Rios, V. M. (2017). Networks of encouragement: </w:t>
      </w:r>
      <w:proofErr w:type="gramStart"/>
      <w:r w:rsidRPr="008157BA">
        <w:rPr>
          <w:rFonts w:ascii="Times New Roman" w:hAnsi="Times New Roman"/>
          <w:sz w:val="20"/>
          <w:szCs w:val="20"/>
        </w:rPr>
        <w:t>Who’s</w:t>
      </w:r>
      <w:proofErr w:type="gramEnd"/>
      <w:r w:rsidRPr="008157BA">
        <w:rPr>
          <w:rFonts w:ascii="Times New Roman" w:hAnsi="Times New Roman"/>
          <w:sz w:val="20"/>
          <w:szCs w:val="20"/>
        </w:rPr>
        <w:t xml:space="preserve"> encouraging </w:t>
      </w:r>
      <w:proofErr w:type="spellStart"/>
      <w:r w:rsidRPr="008157BA">
        <w:rPr>
          <w:rFonts w:ascii="Times New Roman" w:hAnsi="Times New Roman"/>
          <w:sz w:val="20"/>
          <w:szCs w:val="20"/>
        </w:rPr>
        <w:t>Latinx</w:t>
      </w:r>
      <w:proofErr w:type="spellEnd"/>
      <w:r w:rsidRPr="008157BA">
        <w:rPr>
          <w:rFonts w:ascii="Times New Roman" w:hAnsi="Times New Roman"/>
          <w:sz w:val="20"/>
          <w:szCs w:val="20"/>
        </w:rPr>
        <w:t xml:space="preserve"> students and White students to enroll in honors and Advance-Placement (AP) courses? </w:t>
      </w:r>
      <w:r w:rsidRPr="008157BA">
        <w:rPr>
          <w:rFonts w:ascii="Times New Roman" w:hAnsi="Times New Roman"/>
          <w:i/>
          <w:sz w:val="20"/>
          <w:szCs w:val="20"/>
        </w:rPr>
        <w:t>Journal of Latinos and Education, 16</w:t>
      </w:r>
      <w:r w:rsidRPr="008157BA">
        <w:rPr>
          <w:rFonts w:ascii="Times New Roman" w:hAnsi="Times New Roman"/>
          <w:sz w:val="20"/>
          <w:szCs w:val="20"/>
        </w:rPr>
        <w:t xml:space="preserve">(3), 176-191. </w:t>
      </w:r>
      <w:hyperlink r:id="rId34" w:history="1">
        <w:r w:rsidRPr="008157BA">
          <w:rPr>
            <w:rStyle w:val="Kpr"/>
            <w:rFonts w:ascii="Times New Roman" w:hAnsi="Times New Roman"/>
            <w:color w:val="auto"/>
            <w:sz w:val="20"/>
            <w:szCs w:val="20"/>
            <w:u w:val="none"/>
          </w:rPr>
          <w:t>http://dx.doi.org/10.1080/15348431.2016.1229612</w:t>
        </w:r>
      </w:hyperlink>
    </w:p>
    <w:p w14:paraId="366BBF4B" w14:textId="77777777" w:rsidR="008157BA" w:rsidRPr="008157BA" w:rsidRDefault="008157BA" w:rsidP="008157BA">
      <w:pPr>
        <w:pStyle w:val="AralkYok"/>
        <w:widowControl w:val="0"/>
        <w:suppressAutoHyphens/>
        <w:spacing w:line="360" w:lineRule="auto"/>
        <w:ind w:left="720" w:hanging="720"/>
        <w:jc w:val="both"/>
        <w:rPr>
          <w:rFonts w:ascii="Times New Roman" w:hAnsi="Times New Roman"/>
          <w:sz w:val="20"/>
          <w:szCs w:val="20"/>
        </w:rPr>
      </w:pPr>
      <w:r w:rsidRPr="008157BA">
        <w:rPr>
          <w:rFonts w:ascii="Times New Roman" w:hAnsi="Times New Roman"/>
          <w:sz w:val="20"/>
          <w:szCs w:val="20"/>
        </w:rPr>
        <w:t xml:space="preserve">Zarate, M. E., &amp; Pineda, C. G. (2014). Effects of elementary school home language, immigrant generation, language classification, and school’s English learner concentration on Latinos’ high school completion. </w:t>
      </w:r>
      <w:r w:rsidRPr="008157BA">
        <w:rPr>
          <w:rFonts w:ascii="Times New Roman" w:hAnsi="Times New Roman"/>
          <w:i/>
          <w:sz w:val="20"/>
          <w:szCs w:val="20"/>
        </w:rPr>
        <w:t>Teachers College Record, 116</w:t>
      </w:r>
      <w:r w:rsidRPr="008157BA">
        <w:rPr>
          <w:rFonts w:ascii="Times New Roman" w:hAnsi="Times New Roman"/>
          <w:sz w:val="20"/>
          <w:szCs w:val="20"/>
        </w:rPr>
        <w:t>, 1-37.</w:t>
      </w:r>
    </w:p>
    <w:p w14:paraId="5E966421" w14:textId="43E3FD41" w:rsidR="008157BA" w:rsidRPr="008157BA" w:rsidRDefault="008157BA" w:rsidP="008157BA">
      <w:pPr>
        <w:widowControl w:val="0"/>
        <w:spacing w:line="360" w:lineRule="auto"/>
        <w:jc w:val="left"/>
        <w:rPr>
          <w:rFonts w:cs="Times New Roman"/>
          <w:szCs w:val="20"/>
          <w:lang w:eastAsia="en-US"/>
        </w:rPr>
      </w:pPr>
    </w:p>
    <w:tbl>
      <w:tblPr>
        <w:tblW w:w="0" w:type="auto"/>
        <w:jc w:val="center"/>
        <w:tblLook w:val="04A0" w:firstRow="1" w:lastRow="0" w:firstColumn="1" w:lastColumn="0" w:noHBand="0" w:noVBand="1"/>
      </w:tblPr>
      <w:tblGrid>
        <w:gridCol w:w="4503"/>
        <w:gridCol w:w="4502"/>
      </w:tblGrid>
      <w:tr w:rsidR="008157BA" w:rsidRPr="008157BA" w14:paraId="7FEF742E" w14:textId="77777777" w:rsidTr="008157BA">
        <w:trPr>
          <w:jc w:val="center"/>
        </w:trPr>
        <w:tc>
          <w:tcPr>
            <w:tcW w:w="9005" w:type="dxa"/>
            <w:gridSpan w:val="2"/>
            <w:tcBorders>
              <w:top w:val="single" w:sz="4" w:space="0" w:color="auto"/>
              <w:bottom w:val="single" w:sz="4" w:space="0" w:color="auto"/>
            </w:tcBorders>
            <w:shd w:val="clear" w:color="auto" w:fill="auto"/>
          </w:tcPr>
          <w:p w14:paraId="4A8C358E" w14:textId="77777777" w:rsidR="008157BA" w:rsidRPr="008157BA" w:rsidRDefault="008157BA" w:rsidP="00B43A32">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8157BA">
              <w:rPr>
                <w:rFonts w:eastAsia="Times New Roman" w:cs="Times New Roman"/>
                <w:b/>
                <w:sz w:val="24"/>
                <w:szCs w:val="24"/>
                <w:lang w:eastAsia="tr-TR"/>
              </w:rPr>
              <w:t>Author Information</w:t>
            </w:r>
          </w:p>
        </w:tc>
      </w:tr>
      <w:tr w:rsidR="008157BA" w:rsidRPr="008157BA" w14:paraId="529E2137" w14:textId="77777777" w:rsidTr="008157BA">
        <w:trPr>
          <w:jc w:val="center"/>
        </w:trPr>
        <w:tc>
          <w:tcPr>
            <w:tcW w:w="4503" w:type="dxa"/>
            <w:tcBorders>
              <w:top w:val="single" w:sz="4" w:space="0" w:color="auto"/>
              <w:bottom w:val="single" w:sz="4" w:space="0" w:color="auto"/>
            </w:tcBorders>
            <w:shd w:val="clear" w:color="auto" w:fill="auto"/>
          </w:tcPr>
          <w:p w14:paraId="2049029F" w14:textId="77777777" w:rsidR="008157BA" w:rsidRPr="008157BA" w:rsidRDefault="008157BA" w:rsidP="00B43A32">
            <w:pPr>
              <w:widowControl w:val="0"/>
              <w:spacing w:line="360" w:lineRule="auto"/>
              <w:jc w:val="left"/>
              <w:rPr>
                <w:rFonts w:eastAsia="Times New Roman" w:cs="Times New Roman"/>
                <w:b/>
                <w:szCs w:val="20"/>
                <w:lang w:eastAsia="tr-TR"/>
              </w:rPr>
            </w:pPr>
            <w:r w:rsidRPr="008157BA">
              <w:rPr>
                <w:rFonts w:eastAsia="Times New Roman" w:cs="Times New Roman"/>
                <w:b/>
                <w:szCs w:val="20"/>
                <w:lang w:eastAsia="tr-TR"/>
              </w:rPr>
              <w:t>Amanda Taggart</w:t>
            </w:r>
          </w:p>
          <w:p w14:paraId="2BF6559F" w14:textId="77777777" w:rsidR="008157BA" w:rsidRPr="008157BA" w:rsidRDefault="008157BA" w:rsidP="00B43A32">
            <w:pPr>
              <w:widowControl w:val="0"/>
              <w:spacing w:line="360" w:lineRule="auto"/>
              <w:jc w:val="left"/>
              <w:rPr>
                <w:rFonts w:eastAsia="Times New Roman" w:cs="Times New Roman"/>
                <w:szCs w:val="20"/>
                <w:lang w:eastAsia="tr-TR"/>
              </w:rPr>
            </w:pPr>
            <w:r w:rsidRPr="008157BA">
              <w:rPr>
                <w:rFonts w:cs="Times New Roman"/>
                <w:noProof/>
                <w:lang w:eastAsia="en-US"/>
              </w:rPr>
              <w:drawing>
                <wp:inline distT="0" distB="0" distL="0" distR="0" wp14:anchorId="12AA5E78" wp14:editId="2CF6CD94">
                  <wp:extent cx="161925" cy="161925"/>
                  <wp:effectExtent l="0" t="0" r="9525" b="9525"/>
                  <wp:docPr id="6" name="Resim 6"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157BA">
              <w:rPr>
                <w:rFonts w:cs="Times New Roman"/>
                <w:szCs w:val="20"/>
              </w:rPr>
              <w:t xml:space="preserve"> https://orcid.org/ 0000-0002-9475-0317</w:t>
            </w:r>
          </w:p>
          <w:p w14:paraId="243F6FA8" w14:textId="77777777" w:rsidR="008157BA" w:rsidRPr="008157BA" w:rsidRDefault="008157BA" w:rsidP="00B43A32">
            <w:pPr>
              <w:widowControl w:val="0"/>
              <w:spacing w:line="360" w:lineRule="auto"/>
              <w:jc w:val="left"/>
              <w:rPr>
                <w:rFonts w:eastAsia="Times New Roman" w:cs="Times New Roman"/>
                <w:szCs w:val="20"/>
                <w:lang w:eastAsia="tr-TR"/>
              </w:rPr>
            </w:pPr>
            <w:r w:rsidRPr="008157BA">
              <w:rPr>
                <w:rFonts w:eastAsia="Times New Roman" w:cs="Times New Roman"/>
                <w:szCs w:val="20"/>
                <w:lang w:eastAsia="tr-TR"/>
              </w:rPr>
              <w:t>Utah State University</w:t>
            </w:r>
          </w:p>
          <w:p w14:paraId="30AB5108" w14:textId="77777777" w:rsidR="008157BA" w:rsidRPr="008157BA" w:rsidRDefault="008157BA" w:rsidP="00B43A32">
            <w:pPr>
              <w:widowControl w:val="0"/>
              <w:spacing w:line="360" w:lineRule="auto"/>
              <w:jc w:val="left"/>
              <w:rPr>
                <w:rFonts w:eastAsia="Times New Roman" w:cs="Times New Roman"/>
                <w:szCs w:val="20"/>
                <w:lang w:eastAsia="tr-TR"/>
              </w:rPr>
            </w:pPr>
            <w:r w:rsidRPr="008157BA">
              <w:rPr>
                <w:rFonts w:eastAsia="Times New Roman" w:cs="Times New Roman"/>
                <w:szCs w:val="20"/>
                <w:lang w:eastAsia="tr-TR"/>
              </w:rPr>
              <w:t>2805 Old Main Hill, Logan, UT 84322</w:t>
            </w:r>
          </w:p>
          <w:p w14:paraId="375060F2" w14:textId="77777777" w:rsidR="008157BA" w:rsidRPr="008157BA" w:rsidRDefault="008157BA" w:rsidP="00B43A32">
            <w:pPr>
              <w:widowControl w:val="0"/>
              <w:spacing w:line="360" w:lineRule="auto"/>
              <w:jc w:val="left"/>
              <w:rPr>
                <w:rFonts w:eastAsia="Times New Roman" w:cs="Times New Roman"/>
                <w:szCs w:val="20"/>
                <w:lang w:eastAsia="tr-TR"/>
              </w:rPr>
            </w:pPr>
            <w:r w:rsidRPr="008157BA">
              <w:rPr>
                <w:rFonts w:eastAsia="Times New Roman" w:cs="Times New Roman"/>
                <w:szCs w:val="20"/>
                <w:lang w:eastAsia="tr-TR"/>
              </w:rPr>
              <w:t xml:space="preserve">USA </w:t>
            </w:r>
          </w:p>
          <w:p w14:paraId="21A3F0DE" w14:textId="77777777" w:rsidR="008157BA" w:rsidRPr="008157BA" w:rsidRDefault="008157BA" w:rsidP="00B43A32">
            <w:pPr>
              <w:widowControl w:val="0"/>
              <w:spacing w:line="360" w:lineRule="auto"/>
              <w:jc w:val="left"/>
              <w:rPr>
                <w:rFonts w:eastAsia="Times New Roman" w:cs="Times New Roman"/>
                <w:szCs w:val="20"/>
                <w:lang w:eastAsia="tr-TR"/>
              </w:rPr>
            </w:pPr>
            <w:r w:rsidRPr="008157BA">
              <w:rPr>
                <w:rFonts w:cs="Times New Roman"/>
                <w:szCs w:val="20"/>
              </w:rPr>
              <w:t xml:space="preserve">Contact e-mail: </w:t>
            </w:r>
            <w:r w:rsidRPr="008157BA">
              <w:rPr>
                <w:rFonts w:cs="Times New Roman"/>
                <w:i/>
                <w:szCs w:val="20"/>
              </w:rPr>
              <w:t>amanda.taggart@usu.edu</w:t>
            </w:r>
          </w:p>
        </w:tc>
        <w:tc>
          <w:tcPr>
            <w:tcW w:w="4502" w:type="dxa"/>
            <w:tcBorders>
              <w:top w:val="single" w:sz="4" w:space="0" w:color="auto"/>
              <w:bottom w:val="single" w:sz="4" w:space="0" w:color="auto"/>
            </w:tcBorders>
            <w:shd w:val="clear" w:color="auto" w:fill="auto"/>
          </w:tcPr>
          <w:p w14:paraId="295C3D08" w14:textId="77777777" w:rsidR="008157BA" w:rsidRPr="008157BA" w:rsidRDefault="008157BA" w:rsidP="00B43A32">
            <w:pPr>
              <w:widowControl w:val="0"/>
              <w:spacing w:line="360" w:lineRule="auto"/>
              <w:jc w:val="left"/>
              <w:rPr>
                <w:rFonts w:eastAsia="Times New Roman" w:cs="Times New Roman"/>
                <w:b/>
                <w:szCs w:val="20"/>
                <w:lang w:eastAsia="tr-TR"/>
              </w:rPr>
            </w:pPr>
          </w:p>
        </w:tc>
      </w:tr>
    </w:tbl>
    <w:p w14:paraId="22578587" w14:textId="77777777" w:rsidR="008157BA" w:rsidRPr="008157BA" w:rsidRDefault="008157BA" w:rsidP="008157BA">
      <w:pPr>
        <w:widowControl w:val="0"/>
        <w:spacing w:line="360" w:lineRule="auto"/>
        <w:jc w:val="center"/>
        <w:rPr>
          <w:rFonts w:cs="Times New Roman"/>
        </w:rPr>
      </w:pPr>
    </w:p>
    <w:p w14:paraId="76C1BE5B" w14:textId="083E03AA" w:rsidR="00BA0E73" w:rsidRPr="008157BA" w:rsidRDefault="00BA0E73" w:rsidP="008157BA">
      <w:pPr>
        <w:widowControl w:val="0"/>
        <w:spacing w:line="360" w:lineRule="auto"/>
        <w:jc w:val="center"/>
        <w:rPr>
          <w:rFonts w:cs="Times New Roman"/>
        </w:rPr>
      </w:pPr>
    </w:p>
    <w:sectPr w:rsidR="00BA0E73" w:rsidRPr="008157BA" w:rsidSect="008157BA">
      <w:headerReference w:type="first" r:id="rId35"/>
      <w:footerReference w:type="first" r:id="rId36"/>
      <w:footnotePr>
        <w:numFmt w:val="chicago"/>
      </w:footnotePr>
      <w:pgSz w:w="11905" w:h="16837" w:code="9"/>
      <w:pgMar w:top="1440" w:right="1440" w:bottom="1440" w:left="1440" w:header="709" w:footer="709" w:gutter="0"/>
      <w:pgNumType w:start="1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E088A" w14:textId="77777777" w:rsidR="00760E94" w:rsidRDefault="00760E94" w:rsidP="00B53264">
      <w:r>
        <w:separator/>
      </w:r>
    </w:p>
  </w:endnote>
  <w:endnote w:type="continuationSeparator" w:id="0">
    <w:p w14:paraId="0F4B5712" w14:textId="77777777" w:rsidR="00760E94" w:rsidRDefault="00760E94" w:rsidP="00B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Türk">
    <w:altName w:val="Courier New"/>
    <w:charset w:val="00"/>
    <w:family w:val="swiss"/>
    <w:pitch w:val="variable"/>
  </w:font>
  <w:font w:name="Gungsuh">
    <w:altName w:val="Times New Roman"/>
    <w:charset w:val="00"/>
    <w:family w:val="auto"/>
    <w:pitch w:val="default"/>
  </w:font>
  <w:font w:name="Cardo">
    <w:altName w:val="Times New Roman"/>
    <w:charset w:val="00"/>
    <w:family w:val="auto"/>
    <w:pitch w:val="default"/>
  </w:font>
  <w:font w:name="TimesNewRomanPSMT">
    <w:altName w:val="MS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141249"/>
      <w:docPartObj>
        <w:docPartGallery w:val="Page Numbers (Bottom of Page)"/>
        <w:docPartUnique/>
      </w:docPartObj>
    </w:sdtPr>
    <w:sdtEndPr>
      <w:rPr>
        <w:szCs w:val="20"/>
      </w:rPr>
    </w:sdtEndPr>
    <w:sdtContent>
      <w:p w14:paraId="3D9C1431" w14:textId="259EA4D7" w:rsidR="000318F6" w:rsidRPr="00F942EB" w:rsidRDefault="000318F6" w:rsidP="00F942EB">
        <w:pPr>
          <w:pStyle w:val="AltBilgi"/>
          <w:pBdr>
            <w:top w:val="single" w:sz="4" w:space="1" w:color="000000" w:themeColor="text1"/>
          </w:pBdr>
          <w:jc w:val="center"/>
          <w:rPr>
            <w:szCs w:val="20"/>
          </w:rPr>
        </w:pPr>
        <w:r w:rsidRPr="00974916">
          <w:rPr>
            <w:szCs w:val="20"/>
          </w:rPr>
          <w:fldChar w:fldCharType="begin"/>
        </w:r>
        <w:r w:rsidRPr="00974916">
          <w:rPr>
            <w:szCs w:val="20"/>
          </w:rPr>
          <w:instrText>PAGE   \* MERGEFORMAT</w:instrText>
        </w:r>
        <w:r w:rsidRPr="00974916">
          <w:rPr>
            <w:szCs w:val="20"/>
          </w:rPr>
          <w:fldChar w:fldCharType="separate"/>
        </w:r>
        <w:r w:rsidR="009320B1" w:rsidRPr="009320B1">
          <w:rPr>
            <w:noProof/>
            <w:szCs w:val="20"/>
            <w:lang w:val="tr-TR"/>
          </w:rPr>
          <w:t>124</w:t>
        </w:r>
        <w:r w:rsidRPr="00974916">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504490"/>
      <w:docPartObj>
        <w:docPartGallery w:val="Page Numbers (Bottom of Page)"/>
        <w:docPartUnique/>
      </w:docPartObj>
    </w:sdtPr>
    <w:sdtEndPr>
      <w:rPr>
        <w:rFonts w:cs="Times New Roman"/>
        <w:szCs w:val="20"/>
      </w:rPr>
    </w:sdtEndPr>
    <w:sdtContent>
      <w:p w14:paraId="108F5446" w14:textId="2A160782" w:rsidR="000318F6" w:rsidRPr="00F942EB" w:rsidRDefault="000318F6" w:rsidP="006B6F65">
        <w:pPr>
          <w:pStyle w:val="AltBilgi"/>
          <w:pBdr>
            <w:top w:val="single" w:sz="4" w:space="1" w:color="auto"/>
          </w:pBdr>
          <w:tabs>
            <w:tab w:val="clear" w:pos="4536"/>
          </w:tabs>
          <w:jc w:val="center"/>
          <w:rPr>
            <w:rFonts w:cs="Times New Roman"/>
            <w:szCs w:val="20"/>
          </w:rPr>
        </w:pPr>
        <w:r w:rsidRPr="00F942EB">
          <w:rPr>
            <w:rFonts w:cs="Times New Roman"/>
            <w:szCs w:val="20"/>
          </w:rPr>
          <w:fldChar w:fldCharType="begin"/>
        </w:r>
        <w:r w:rsidRPr="00F942EB">
          <w:rPr>
            <w:rFonts w:cs="Times New Roman"/>
            <w:szCs w:val="20"/>
          </w:rPr>
          <w:instrText>PAGE   \* MERGEFORMAT</w:instrText>
        </w:r>
        <w:r w:rsidRPr="00F942EB">
          <w:rPr>
            <w:rFonts w:cs="Times New Roman"/>
            <w:szCs w:val="20"/>
          </w:rPr>
          <w:fldChar w:fldCharType="separate"/>
        </w:r>
        <w:r w:rsidR="009320B1" w:rsidRPr="009320B1">
          <w:rPr>
            <w:rFonts w:cs="Times New Roman"/>
            <w:noProof/>
            <w:szCs w:val="20"/>
            <w:lang w:val="tr-TR"/>
          </w:rPr>
          <w:t>125</w:t>
        </w:r>
        <w:r w:rsidRPr="00F942EB">
          <w:rPr>
            <w:rFonts w:cs="Times New Roman"/>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14673"/>
      <w:docPartObj>
        <w:docPartGallery w:val="Page Numbers (Bottom of Page)"/>
        <w:docPartUnique/>
      </w:docPartObj>
    </w:sdtPr>
    <w:sdtEndPr>
      <w:rPr>
        <w:rFonts w:cs="Times New Roman"/>
        <w:szCs w:val="20"/>
      </w:rPr>
    </w:sdtEndPr>
    <w:sdtContent>
      <w:p w14:paraId="3ECEDA2C" w14:textId="37935A8D" w:rsidR="000318F6" w:rsidRPr="00F942EB" w:rsidRDefault="000318F6" w:rsidP="000C776E">
        <w:pPr>
          <w:pStyle w:val="AltBilgi"/>
          <w:pBdr>
            <w:top w:val="single" w:sz="4" w:space="1" w:color="auto"/>
          </w:pBdr>
          <w:tabs>
            <w:tab w:val="clear" w:pos="4536"/>
          </w:tabs>
          <w:jc w:val="center"/>
          <w:rPr>
            <w:rFonts w:cs="Times New Roman"/>
            <w:szCs w:val="20"/>
          </w:rPr>
        </w:pPr>
        <w:r w:rsidRPr="00F942EB">
          <w:rPr>
            <w:rFonts w:cs="Times New Roman"/>
            <w:szCs w:val="20"/>
          </w:rPr>
          <w:fldChar w:fldCharType="begin"/>
        </w:r>
        <w:r w:rsidRPr="00F942EB">
          <w:rPr>
            <w:rFonts w:cs="Times New Roman"/>
            <w:szCs w:val="20"/>
          </w:rPr>
          <w:instrText>PAGE   \* MERGEFORMAT</w:instrText>
        </w:r>
        <w:r w:rsidRPr="00F942EB">
          <w:rPr>
            <w:rFonts w:cs="Times New Roman"/>
            <w:szCs w:val="20"/>
          </w:rPr>
          <w:fldChar w:fldCharType="separate"/>
        </w:r>
        <w:r w:rsidR="009320B1" w:rsidRPr="009320B1">
          <w:rPr>
            <w:rFonts w:cs="Times New Roman"/>
            <w:noProof/>
            <w:szCs w:val="20"/>
            <w:lang w:val="tr-TR"/>
          </w:rPr>
          <w:t>109</w:t>
        </w:r>
        <w:r w:rsidRPr="00F942EB">
          <w:rPr>
            <w:rFonts w:cs="Times New Roman"/>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B31B" w14:textId="77777777" w:rsidR="00760E94" w:rsidRDefault="00760E94" w:rsidP="00B53264">
      <w:r>
        <w:separator/>
      </w:r>
    </w:p>
  </w:footnote>
  <w:footnote w:type="continuationSeparator" w:id="0">
    <w:p w14:paraId="65018802" w14:textId="77777777" w:rsidR="00760E94" w:rsidRDefault="00760E94" w:rsidP="00B5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3CA6" w14:textId="031ED830" w:rsidR="000318F6" w:rsidRPr="00974916" w:rsidRDefault="008157BA" w:rsidP="00F942EB">
    <w:pPr>
      <w:pStyle w:val="stBilgi"/>
      <w:pBdr>
        <w:bottom w:val="single" w:sz="4" w:space="1" w:color="000000" w:themeColor="text1"/>
      </w:pBdr>
      <w:tabs>
        <w:tab w:val="clear" w:pos="4536"/>
        <w:tab w:val="clear" w:pos="9072"/>
      </w:tabs>
      <w:jc w:val="left"/>
      <w:rPr>
        <w:i/>
      </w:rPr>
    </w:pPr>
    <w:r w:rsidRPr="008157BA">
      <w:rPr>
        <w:i/>
      </w:rPr>
      <w:t>Taggart</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4352" w14:textId="6B40D6E5" w:rsidR="000318F6" w:rsidRPr="00974916" w:rsidRDefault="000318F6" w:rsidP="00F942EB">
    <w:pPr>
      <w:pStyle w:val="stBilgi"/>
      <w:pBdr>
        <w:bottom w:val="single" w:sz="4" w:space="1" w:color="000000" w:themeColor="text1"/>
      </w:pBdr>
      <w:jc w:val="right"/>
      <w:rPr>
        <w:i/>
      </w:rPr>
    </w:pPr>
    <w:r w:rsidRPr="00974916">
      <w:rPr>
        <w:i/>
      </w:rPr>
      <w:t xml:space="preserve">International Journal on </w:t>
    </w:r>
    <w:r>
      <w:rPr>
        <w:i/>
      </w:rPr>
      <w:t>Studies in</w:t>
    </w:r>
    <w:r w:rsidRPr="00974916">
      <w:rPr>
        <w:i/>
      </w:rPr>
      <w:t xml:space="preserve"> Education (</w:t>
    </w:r>
    <w:proofErr w:type="spellStart"/>
    <w:r w:rsidRPr="00974916">
      <w:rPr>
        <w:i/>
      </w:rPr>
      <w:t>IJonSE</w:t>
    </w:r>
    <w:proofErr w:type="spellEnd"/>
    <w:r w:rsidRPr="00974916">
      <w:rPr>
        <w:i/>
      </w:rPr>
      <w:t>)</w:t>
    </w:r>
  </w:p>
  <w:p w14:paraId="4FFF98F9" w14:textId="77777777" w:rsidR="000318F6" w:rsidRPr="00526BEF" w:rsidRDefault="000318F6" w:rsidP="00F942EB">
    <w:pPr>
      <w:pStyle w:val="stbilgi1"/>
      <w:tabs>
        <w:tab w:val="clear" w:pos="4536"/>
        <w:tab w:val="clear" w:pos="9072"/>
      </w:tabs>
    </w:pPr>
  </w:p>
  <w:p w14:paraId="0EAA1F3B" w14:textId="014FE18B" w:rsidR="000318F6" w:rsidRPr="00F942EB" w:rsidRDefault="000318F6" w:rsidP="00F942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6BF2" w14:textId="77777777" w:rsidR="000318F6" w:rsidRDefault="000318F6" w:rsidP="00BA0E73">
    <w:pPr>
      <w:pStyle w:val="stbilgi1"/>
    </w:pPr>
  </w:p>
  <w:p w14:paraId="21A3FE8E" w14:textId="77777777" w:rsidR="000318F6" w:rsidRDefault="000318F6">
    <w:pPr>
      <w:pStyle w:val="stbilgi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bottom w:val="single" w:sz="18" w:space="0" w:color="000000" w:themeColor="text1"/>
      </w:tblBorders>
      <w:tblLook w:val="04A0" w:firstRow="1" w:lastRow="0" w:firstColumn="1" w:lastColumn="0" w:noHBand="0" w:noVBand="1"/>
    </w:tblPr>
    <w:tblGrid>
      <w:gridCol w:w="1501"/>
      <w:gridCol w:w="4255"/>
      <w:gridCol w:w="3269"/>
    </w:tblGrid>
    <w:tr w:rsidR="000318F6" w:rsidRPr="00E92597" w14:paraId="6E786363" w14:textId="77777777" w:rsidTr="004F53B4">
      <w:trPr>
        <w:trHeight w:val="433"/>
        <w:jc w:val="center"/>
      </w:trPr>
      <w:tc>
        <w:tcPr>
          <w:tcW w:w="1374" w:type="dxa"/>
          <w:vMerge w:val="restart"/>
          <w:tcBorders>
            <w:bottom w:val="nil"/>
          </w:tcBorders>
          <w:shd w:val="clear" w:color="auto" w:fill="auto"/>
          <w:vAlign w:val="center"/>
        </w:tcPr>
        <w:p w14:paraId="1AFD867B" w14:textId="5E3F19B1" w:rsidR="000318F6" w:rsidRPr="00E92597" w:rsidRDefault="000318F6" w:rsidP="00BA0E73">
          <w:pPr>
            <w:pStyle w:val="stbilgi1"/>
            <w:ind w:left="-124" w:right="-131"/>
            <w:jc w:val="left"/>
            <w:rPr>
              <w:b/>
              <w:sz w:val="22"/>
            </w:rPr>
          </w:pPr>
          <w:r>
            <w:rPr>
              <w:noProof/>
              <w:lang w:eastAsia="en-US"/>
            </w:rPr>
            <w:drawing>
              <wp:inline distT="0" distB="0" distL="0" distR="0" wp14:anchorId="7932D649" wp14:editId="63FA1BC8">
                <wp:extent cx="828000" cy="540000"/>
                <wp:effectExtent l="0" t="0" r="0" b="0"/>
                <wp:docPr id="8" name="Resim 8" descr="ijon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ons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540000"/>
                        </a:xfrm>
                        <a:prstGeom prst="rect">
                          <a:avLst/>
                        </a:prstGeom>
                        <a:noFill/>
                        <a:ln>
                          <a:noFill/>
                        </a:ln>
                      </pic:spPr>
                    </pic:pic>
                  </a:graphicData>
                </a:graphic>
              </wp:inline>
            </w:drawing>
          </w:r>
        </w:p>
      </w:tc>
      <w:tc>
        <w:tcPr>
          <w:tcW w:w="6990" w:type="dxa"/>
          <w:gridSpan w:val="2"/>
          <w:tcBorders>
            <w:bottom w:val="single" w:sz="12" w:space="0" w:color="auto"/>
          </w:tcBorders>
          <w:shd w:val="clear" w:color="auto" w:fill="auto"/>
          <w:vAlign w:val="center"/>
        </w:tcPr>
        <w:p w14:paraId="0B1CE48B" w14:textId="77777777" w:rsidR="000318F6" w:rsidRPr="008B610C" w:rsidRDefault="000318F6" w:rsidP="004310BC">
          <w:pPr>
            <w:spacing w:after="60"/>
            <w:jc w:val="center"/>
            <w:rPr>
              <w:rFonts w:cs="Times New Roman"/>
              <w:b/>
              <w:spacing w:val="10"/>
              <w:sz w:val="22"/>
            </w:rPr>
          </w:pPr>
          <w:r w:rsidRPr="008B610C">
            <w:rPr>
              <w:rFonts w:cs="Times New Roman"/>
              <w:b/>
              <w:spacing w:val="10"/>
              <w:sz w:val="22"/>
            </w:rPr>
            <w:t>International Journal on Studies in Education</w:t>
          </w:r>
        </w:p>
      </w:tc>
    </w:tr>
    <w:tr w:rsidR="000318F6" w:rsidRPr="00E92597" w14:paraId="0FB24768" w14:textId="77777777" w:rsidTr="004F53B4">
      <w:trPr>
        <w:trHeight w:val="395"/>
        <w:jc w:val="center"/>
      </w:trPr>
      <w:tc>
        <w:tcPr>
          <w:tcW w:w="1374" w:type="dxa"/>
          <w:vMerge/>
          <w:tcBorders>
            <w:bottom w:val="nil"/>
          </w:tcBorders>
          <w:shd w:val="clear" w:color="auto" w:fill="auto"/>
        </w:tcPr>
        <w:p w14:paraId="1B89C454" w14:textId="77777777" w:rsidR="000318F6" w:rsidRPr="00E92597" w:rsidRDefault="000318F6" w:rsidP="00BA0E73">
          <w:pPr>
            <w:pStyle w:val="stbilgi1"/>
            <w:jc w:val="left"/>
          </w:pPr>
        </w:p>
      </w:tc>
      <w:tc>
        <w:tcPr>
          <w:tcW w:w="3953" w:type="dxa"/>
          <w:tcBorders>
            <w:top w:val="single" w:sz="12" w:space="0" w:color="auto"/>
            <w:bottom w:val="nil"/>
          </w:tcBorders>
          <w:shd w:val="clear" w:color="auto" w:fill="auto"/>
          <w:vAlign w:val="center"/>
        </w:tcPr>
        <w:p w14:paraId="0F3D8BA2" w14:textId="17195E6B" w:rsidR="000318F6" w:rsidRPr="00E92597" w:rsidRDefault="000318F6" w:rsidP="008157BA">
          <w:pPr>
            <w:pStyle w:val="stbilgi1"/>
            <w:tabs>
              <w:tab w:val="clear" w:pos="4536"/>
            </w:tabs>
            <w:ind w:right="-41"/>
            <w:jc w:val="left"/>
            <w:rPr>
              <w:spacing w:val="10"/>
            </w:rPr>
          </w:pPr>
          <w:r>
            <w:t xml:space="preserve">2024, </w:t>
          </w:r>
          <w:r w:rsidRPr="0020300B">
            <w:t>Vol</w:t>
          </w:r>
          <w:r>
            <w:t>.</w:t>
          </w:r>
          <w:r w:rsidRPr="0020300B">
            <w:t xml:space="preserve"> </w:t>
          </w:r>
          <w:r>
            <w:t>6</w:t>
          </w:r>
          <w:r w:rsidRPr="0020300B">
            <w:t xml:space="preserve">, </w:t>
          </w:r>
          <w:r w:rsidRPr="004B03A7">
            <w:t xml:space="preserve">No. 1, </w:t>
          </w:r>
          <w:r w:rsidR="008157BA">
            <w:t>109</w:t>
          </w:r>
          <w:r w:rsidRPr="004B03A7">
            <w:t>-</w:t>
          </w:r>
          <w:r>
            <w:t>1</w:t>
          </w:r>
          <w:r w:rsidR="008157BA">
            <w:t>25</w:t>
          </w:r>
        </w:p>
      </w:tc>
      <w:tc>
        <w:tcPr>
          <w:tcW w:w="3037" w:type="dxa"/>
          <w:tcBorders>
            <w:top w:val="single" w:sz="12" w:space="0" w:color="auto"/>
            <w:bottom w:val="nil"/>
          </w:tcBorders>
          <w:shd w:val="clear" w:color="auto" w:fill="auto"/>
          <w:vAlign w:val="center"/>
        </w:tcPr>
        <w:p w14:paraId="47227368" w14:textId="3A8CCD81" w:rsidR="000318F6" w:rsidRPr="00E92597" w:rsidRDefault="000318F6" w:rsidP="008157BA">
          <w:pPr>
            <w:pStyle w:val="stbilgi1"/>
            <w:tabs>
              <w:tab w:val="clear" w:pos="4536"/>
            </w:tabs>
            <w:ind w:right="-41"/>
            <w:jc w:val="right"/>
            <w:rPr>
              <w:rFonts w:cs="Times New Roman"/>
              <w:color w:val="000000"/>
              <w:spacing w:val="10"/>
              <w:sz w:val="22"/>
            </w:rPr>
          </w:pPr>
          <w:r w:rsidRPr="004310BC">
            <w:t>https://doi.org/10.46328/ijonse.</w:t>
          </w:r>
          <w:r w:rsidR="008157BA">
            <w:t>197</w:t>
          </w:r>
        </w:p>
      </w:tc>
    </w:tr>
  </w:tbl>
  <w:p w14:paraId="23B2DAB1" w14:textId="77777777" w:rsidR="000318F6" w:rsidRPr="00476476" w:rsidRDefault="000318F6" w:rsidP="004764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782C"/>
    <w:multiLevelType w:val="hybridMultilevel"/>
    <w:tmpl w:val="106A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D7863"/>
    <w:multiLevelType w:val="hybridMultilevel"/>
    <w:tmpl w:val="9020C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5458"/>
    <w:multiLevelType w:val="hybridMultilevel"/>
    <w:tmpl w:val="DAF0C36C"/>
    <w:lvl w:ilvl="0" w:tplc="07802B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B56755"/>
    <w:multiLevelType w:val="hybridMultilevel"/>
    <w:tmpl w:val="0580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72F67"/>
    <w:multiLevelType w:val="hybridMultilevel"/>
    <w:tmpl w:val="90E6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A0ED4"/>
    <w:multiLevelType w:val="multilevel"/>
    <w:tmpl w:val="F6CE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46837"/>
    <w:multiLevelType w:val="hybridMultilevel"/>
    <w:tmpl w:val="92CC0B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415E01"/>
    <w:multiLevelType w:val="multilevel"/>
    <w:tmpl w:val="361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64"/>
    <w:rsid w:val="00023C20"/>
    <w:rsid w:val="00025171"/>
    <w:rsid w:val="000318F6"/>
    <w:rsid w:val="00032F0F"/>
    <w:rsid w:val="0005677C"/>
    <w:rsid w:val="000747C1"/>
    <w:rsid w:val="00081E9E"/>
    <w:rsid w:val="000927E6"/>
    <w:rsid w:val="000A32EF"/>
    <w:rsid w:val="000C776E"/>
    <w:rsid w:val="000E27B0"/>
    <w:rsid w:val="001254D5"/>
    <w:rsid w:val="001402D5"/>
    <w:rsid w:val="0014546C"/>
    <w:rsid w:val="00150B3B"/>
    <w:rsid w:val="00152C41"/>
    <w:rsid w:val="001648CA"/>
    <w:rsid w:val="00166C12"/>
    <w:rsid w:val="00190DBA"/>
    <w:rsid w:val="001B6A76"/>
    <w:rsid w:val="001B7856"/>
    <w:rsid w:val="001F4C87"/>
    <w:rsid w:val="00211108"/>
    <w:rsid w:val="00220C9F"/>
    <w:rsid w:val="00232045"/>
    <w:rsid w:val="002344AA"/>
    <w:rsid w:val="0024523B"/>
    <w:rsid w:val="00262FE9"/>
    <w:rsid w:val="002D47EC"/>
    <w:rsid w:val="002F0955"/>
    <w:rsid w:val="003306D8"/>
    <w:rsid w:val="00351A22"/>
    <w:rsid w:val="00382202"/>
    <w:rsid w:val="003850B1"/>
    <w:rsid w:val="003F1413"/>
    <w:rsid w:val="003F2DD4"/>
    <w:rsid w:val="0040622F"/>
    <w:rsid w:val="004310BC"/>
    <w:rsid w:val="00440F75"/>
    <w:rsid w:val="004440B6"/>
    <w:rsid w:val="00450227"/>
    <w:rsid w:val="004515EA"/>
    <w:rsid w:val="00460DB5"/>
    <w:rsid w:val="00476476"/>
    <w:rsid w:val="00494973"/>
    <w:rsid w:val="004A65CC"/>
    <w:rsid w:val="004A7B74"/>
    <w:rsid w:val="004B0316"/>
    <w:rsid w:val="004B03A7"/>
    <w:rsid w:val="004F3615"/>
    <w:rsid w:val="004F53B4"/>
    <w:rsid w:val="00514FB1"/>
    <w:rsid w:val="00530DCD"/>
    <w:rsid w:val="0056201F"/>
    <w:rsid w:val="005667F3"/>
    <w:rsid w:val="005C3033"/>
    <w:rsid w:val="00644FF9"/>
    <w:rsid w:val="00657157"/>
    <w:rsid w:val="00680620"/>
    <w:rsid w:val="006B3068"/>
    <w:rsid w:val="006B6F65"/>
    <w:rsid w:val="006D215A"/>
    <w:rsid w:val="006E6EC3"/>
    <w:rsid w:val="006F2FA9"/>
    <w:rsid w:val="00725F0A"/>
    <w:rsid w:val="00755DEC"/>
    <w:rsid w:val="00760E94"/>
    <w:rsid w:val="00776437"/>
    <w:rsid w:val="007765AE"/>
    <w:rsid w:val="007A4142"/>
    <w:rsid w:val="007B5319"/>
    <w:rsid w:val="007B6148"/>
    <w:rsid w:val="007C141A"/>
    <w:rsid w:val="007C4177"/>
    <w:rsid w:val="007D18D9"/>
    <w:rsid w:val="007D5AB3"/>
    <w:rsid w:val="007F4A29"/>
    <w:rsid w:val="0080448C"/>
    <w:rsid w:val="00807B31"/>
    <w:rsid w:val="008157BA"/>
    <w:rsid w:val="0082422C"/>
    <w:rsid w:val="008A1FC9"/>
    <w:rsid w:val="008C3055"/>
    <w:rsid w:val="008F607C"/>
    <w:rsid w:val="009320B1"/>
    <w:rsid w:val="00947D43"/>
    <w:rsid w:val="00984ADE"/>
    <w:rsid w:val="00990B96"/>
    <w:rsid w:val="009A575A"/>
    <w:rsid w:val="009A638E"/>
    <w:rsid w:val="009B02BA"/>
    <w:rsid w:val="009B53F1"/>
    <w:rsid w:val="009C7A5D"/>
    <w:rsid w:val="009D2197"/>
    <w:rsid w:val="009D510F"/>
    <w:rsid w:val="00A404AB"/>
    <w:rsid w:val="00A84656"/>
    <w:rsid w:val="00AA3BAB"/>
    <w:rsid w:val="00AB3EA9"/>
    <w:rsid w:val="00AB4E7C"/>
    <w:rsid w:val="00AE3488"/>
    <w:rsid w:val="00B161F1"/>
    <w:rsid w:val="00B53264"/>
    <w:rsid w:val="00B607D5"/>
    <w:rsid w:val="00B71B08"/>
    <w:rsid w:val="00B8087B"/>
    <w:rsid w:val="00BA0E73"/>
    <w:rsid w:val="00BB39AA"/>
    <w:rsid w:val="00BB41A1"/>
    <w:rsid w:val="00BB6C4C"/>
    <w:rsid w:val="00BD1D47"/>
    <w:rsid w:val="00BD33A6"/>
    <w:rsid w:val="00BD38B1"/>
    <w:rsid w:val="00BD7735"/>
    <w:rsid w:val="00BE1FB0"/>
    <w:rsid w:val="00C217BC"/>
    <w:rsid w:val="00C35482"/>
    <w:rsid w:val="00C46592"/>
    <w:rsid w:val="00C70E1B"/>
    <w:rsid w:val="00C809BF"/>
    <w:rsid w:val="00C91B48"/>
    <w:rsid w:val="00CD6DDC"/>
    <w:rsid w:val="00CD6F39"/>
    <w:rsid w:val="00CE16DA"/>
    <w:rsid w:val="00CE4D8C"/>
    <w:rsid w:val="00CF39A1"/>
    <w:rsid w:val="00D00B9F"/>
    <w:rsid w:val="00D23F53"/>
    <w:rsid w:val="00D55516"/>
    <w:rsid w:val="00D803D0"/>
    <w:rsid w:val="00DB081C"/>
    <w:rsid w:val="00DC1080"/>
    <w:rsid w:val="00DD3E0D"/>
    <w:rsid w:val="00DD5F83"/>
    <w:rsid w:val="00DD6EE8"/>
    <w:rsid w:val="00E14E45"/>
    <w:rsid w:val="00E2519A"/>
    <w:rsid w:val="00E2545A"/>
    <w:rsid w:val="00E657A4"/>
    <w:rsid w:val="00E7360C"/>
    <w:rsid w:val="00E8670A"/>
    <w:rsid w:val="00EA6D8C"/>
    <w:rsid w:val="00EC51AC"/>
    <w:rsid w:val="00EE3E1E"/>
    <w:rsid w:val="00EE64C8"/>
    <w:rsid w:val="00F15BED"/>
    <w:rsid w:val="00F3249D"/>
    <w:rsid w:val="00F371D3"/>
    <w:rsid w:val="00F6063E"/>
    <w:rsid w:val="00F64DD8"/>
    <w:rsid w:val="00F840E5"/>
    <w:rsid w:val="00F942EB"/>
    <w:rsid w:val="00FB29ED"/>
    <w:rsid w:val="00FB4243"/>
    <w:rsid w:val="00FB460B"/>
    <w:rsid w:val="00FF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83"/>
    <w:pPr>
      <w:suppressAutoHyphens/>
      <w:spacing w:after="0" w:line="240" w:lineRule="auto"/>
      <w:jc w:val="both"/>
    </w:pPr>
    <w:rPr>
      <w:rFonts w:ascii="Times New Roman" w:eastAsia="Calibri" w:hAnsi="Times New Roman" w:cs="Calibri"/>
      <w:sz w:val="20"/>
      <w:lang w:val="en-US" w:eastAsia="ar-SA"/>
    </w:rPr>
  </w:style>
  <w:style w:type="paragraph" w:styleId="Balk5">
    <w:name w:val="heading 5"/>
    <w:basedOn w:val="Normal"/>
    <w:link w:val="Balk5Char"/>
    <w:uiPriority w:val="9"/>
    <w:qFormat/>
    <w:rsid w:val="00BA0E73"/>
    <w:pPr>
      <w:suppressAutoHyphens w:val="0"/>
      <w:spacing w:before="100" w:beforeAutospacing="1" w:after="100" w:afterAutospacing="1"/>
      <w:jc w:val="left"/>
      <w:outlineLvl w:val="4"/>
    </w:pPr>
    <w:rPr>
      <w:rFonts w:eastAsia="Times New Roman" w:cs="Times New Roman"/>
      <w:b/>
      <w:bCs/>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BA0E73"/>
    <w:rPr>
      <w:rFonts w:ascii="Times New Roman" w:eastAsia="Times New Roman" w:hAnsi="Times New Roman" w:cs="Times New Roman"/>
      <w:b/>
      <w:bCs/>
      <w:sz w:val="20"/>
      <w:szCs w:val="20"/>
      <w:lang w:eastAsia="tr-TR"/>
    </w:rPr>
  </w:style>
  <w:style w:type="character" w:styleId="Kpr">
    <w:name w:val="Hyperlink"/>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 Bilgi Char"/>
    <w:basedOn w:val="VarsaylanParagrafYazTipi"/>
    <w:link w:val="AltBilgi"/>
    <w:uiPriority w:val="99"/>
    <w:rsid w:val="00B53264"/>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4A7B74"/>
    <w:rPr>
      <w:rFonts w:ascii="Tahoma" w:hAnsi="Tahoma" w:cs="Tahoma"/>
      <w:sz w:val="16"/>
      <w:szCs w:val="16"/>
    </w:rPr>
  </w:style>
  <w:style w:type="character" w:customStyle="1" w:styleId="BalonMetniChar">
    <w:name w:val="Balon Metni Char"/>
    <w:basedOn w:val="VarsaylanParagrafYazTipi"/>
    <w:link w:val="BalonMetni"/>
    <w:uiPriority w:val="99"/>
    <w:semiHidden/>
    <w:rsid w:val="004A7B74"/>
    <w:rPr>
      <w:rFonts w:ascii="Tahoma" w:eastAsia="Calibri" w:hAnsi="Tahoma" w:cs="Tahoma"/>
      <w:sz w:val="16"/>
      <w:szCs w:val="16"/>
      <w:lang w:val="en-US" w:eastAsia="ar-SA"/>
    </w:rPr>
  </w:style>
  <w:style w:type="character" w:customStyle="1" w:styleId="zmlenmeyenBahsetme1">
    <w:name w:val="Çözümlenmeyen Bahsetme1"/>
    <w:basedOn w:val="VarsaylanParagrafYazTipi"/>
    <w:uiPriority w:val="99"/>
    <w:semiHidden/>
    <w:unhideWhenUsed/>
    <w:rsid w:val="00382202"/>
    <w:rPr>
      <w:color w:val="605E5C"/>
      <w:shd w:val="clear" w:color="auto" w:fill="E1DFDD"/>
    </w:rPr>
  </w:style>
  <w:style w:type="table" w:styleId="TabloKlavuzu">
    <w:name w:val="Table Grid"/>
    <w:basedOn w:val="NormalTablo"/>
    <w:uiPriority w:val="59"/>
    <w:unhideWhenUsed/>
    <w:rsid w:val="008C3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EE3E1E"/>
    <w:pPr>
      <w:tabs>
        <w:tab w:val="center" w:pos="4536"/>
        <w:tab w:val="right" w:pos="9072"/>
      </w:tabs>
    </w:pPr>
  </w:style>
  <w:style w:type="character" w:customStyle="1" w:styleId="stBilgiChar0">
    <w:name w:val="Üst Bilgi Char"/>
    <w:basedOn w:val="VarsaylanParagrafYazTipi"/>
    <w:link w:val="stBilgi"/>
    <w:uiPriority w:val="99"/>
    <w:rsid w:val="00EE3E1E"/>
    <w:rPr>
      <w:rFonts w:ascii="Times New Roman" w:eastAsia="Calibri" w:hAnsi="Times New Roman" w:cs="Calibri"/>
      <w:sz w:val="20"/>
      <w:lang w:val="en-US" w:eastAsia="ar-SA"/>
    </w:rPr>
  </w:style>
  <w:style w:type="paragraph" w:styleId="ListeParagraf">
    <w:name w:val="List Paragraph"/>
    <w:basedOn w:val="Normal"/>
    <w:uiPriority w:val="34"/>
    <w:qFormat/>
    <w:rsid w:val="00BB41A1"/>
    <w:pPr>
      <w:suppressAutoHyphens w:val="0"/>
      <w:ind w:left="720"/>
      <w:contextualSpacing/>
      <w:jc w:val="left"/>
    </w:pPr>
    <w:rPr>
      <w:rFonts w:eastAsia="Times New Roman" w:cs="Times New Roman"/>
      <w:sz w:val="24"/>
      <w:szCs w:val="24"/>
      <w:lang w:eastAsia="ko-KR"/>
    </w:rPr>
  </w:style>
  <w:style w:type="paragraph" w:customStyle="1" w:styleId="Default">
    <w:name w:val="Default"/>
    <w:rsid w:val="00BA0E73"/>
    <w:pPr>
      <w:autoSpaceDE w:val="0"/>
      <w:autoSpaceDN w:val="0"/>
      <w:adjustRightInd w:val="0"/>
      <w:spacing w:after="0" w:line="240" w:lineRule="auto"/>
    </w:pPr>
    <w:rPr>
      <w:rFonts w:ascii="Palatino Linotype" w:hAnsi="Palatino Linotype" w:cs="Palatino Linotype"/>
      <w:color w:val="000000"/>
      <w:sz w:val="24"/>
      <w:szCs w:val="24"/>
    </w:rPr>
  </w:style>
  <w:style w:type="paragraph" w:styleId="GvdeMetniGirintisi2">
    <w:name w:val="Body Text Indent 2"/>
    <w:basedOn w:val="Normal"/>
    <w:link w:val="GvdeMetniGirintisi2Char"/>
    <w:rsid w:val="00BA0E73"/>
    <w:pPr>
      <w:tabs>
        <w:tab w:val="left" w:pos="720"/>
      </w:tabs>
      <w:suppressAutoHyphens w:val="0"/>
      <w:autoSpaceDE w:val="0"/>
      <w:autoSpaceDN w:val="0"/>
      <w:spacing w:line="360" w:lineRule="auto"/>
      <w:ind w:left="720" w:hanging="720"/>
    </w:pPr>
    <w:rPr>
      <w:rFonts w:eastAsia="Times New Roman" w:cs="Times New Roman"/>
      <w:b/>
      <w:sz w:val="24"/>
      <w:szCs w:val="20"/>
      <w:lang w:val="tr-TR" w:eastAsia="tr-TR"/>
    </w:rPr>
  </w:style>
  <w:style w:type="character" w:customStyle="1" w:styleId="GvdeMetniGirintisi2Char">
    <w:name w:val="Gövde Metni Girintisi 2 Char"/>
    <w:basedOn w:val="VarsaylanParagrafYazTipi"/>
    <w:link w:val="GvdeMetniGirintisi2"/>
    <w:rsid w:val="00BA0E73"/>
    <w:rPr>
      <w:rFonts w:ascii="Times New Roman" w:eastAsia="Times New Roman" w:hAnsi="Times New Roman" w:cs="Times New Roman"/>
      <w:b/>
      <w:sz w:val="24"/>
      <w:szCs w:val="20"/>
      <w:lang w:eastAsia="tr-TR"/>
    </w:rPr>
  </w:style>
  <w:style w:type="paragraph" w:styleId="AklamaMetni">
    <w:name w:val="annotation text"/>
    <w:basedOn w:val="Normal"/>
    <w:link w:val="AklamaMetniChar"/>
    <w:uiPriority w:val="99"/>
    <w:semiHidden/>
    <w:unhideWhenUsed/>
    <w:rsid w:val="00BA0E73"/>
    <w:pPr>
      <w:suppressAutoHyphens w:val="0"/>
      <w:spacing w:after="200"/>
      <w:jc w:val="left"/>
    </w:pPr>
    <w:rPr>
      <w:rFonts w:asciiTheme="minorHAnsi" w:eastAsiaTheme="minorHAnsi" w:hAnsiTheme="minorHAnsi" w:cstheme="minorBidi"/>
      <w:szCs w:val="20"/>
      <w:lang w:eastAsia="en-US"/>
    </w:rPr>
  </w:style>
  <w:style w:type="character" w:customStyle="1" w:styleId="AklamaMetniChar">
    <w:name w:val="Açıklama Metni Char"/>
    <w:basedOn w:val="VarsaylanParagrafYazTipi"/>
    <w:link w:val="AklamaMetni"/>
    <w:uiPriority w:val="99"/>
    <w:semiHidden/>
    <w:rsid w:val="00BA0E73"/>
    <w:rPr>
      <w:sz w:val="20"/>
      <w:szCs w:val="20"/>
      <w:lang w:val="en-US"/>
    </w:rPr>
  </w:style>
  <w:style w:type="character" w:customStyle="1" w:styleId="AklamaKonusuChar">
    <w:name w:val="Açıklama Konusu Char"/>
    <w:basedOn w:val="AklamaMetniChar"/>
    <w:link w:val="AklamaKonusu"/>
    <w:uiPriority w:val="99"/>
    <w:semiHidden/>
    <w:rsid w:val="00BA0E73"/>
    <w:rPr>
      <w:b/>
      <w:bCs/>
      <w:sz w:val="20"/>
      <w:szCs w:val="20"/>
      <w:lang w:val="en-US"/>
    </w:rPr>
  </w:style>
  <w:style w:type="paragraph" w:styleId="AklamaKonusu">
    <w:name w:val="annotation subject"/>
    <w:basedOn w:val="AklamaMetni"/>
    <w:next w:val="AklamaMetni"/>
    <w:link w:val="AklamaKonusuChar"/>
    <w:uiPriority w:val="99"/>
    <w:semiHidden/>
    <w:unhideWhenUsed/>
    <w:rsid w:val="00BA0E73"/>
    <w:rPr>
      <w:b/>
      <w:bCs/>
    </w:rPr>
  </w:style>
  <w:style w:type="paragraph" w:styleId="HTMLncedenBiimlendirilmi">
    <w:name w:val="HTML Preformatted"/>
    <w:basedOn w:val="Normal"/>
    <w:link w:val="HTMLncedenBiimlendirilmiChar"/>
    <w:uiPriority w:val="99"/>
    <w:semiHidden/>
    <w:unhideWhenUsed/>
    <w:rsid w:val="00BA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BA0E73"/>
    <w:rPr>
      <w:rFonts w:ascii="Courier New" w:eastAsia="Times New Roman" w:hAnsi="Courier New" w:cs="Courier New"/>
      <w:sz w:val="20"/>
      <w:szCs w:val="20"/>
      <w:lang w:eastAsia="tr-TR"/>
    </w:rPr>
  </w:style>
  <w:style w:type="character" w:customStyle="1" w:styleId="y2qfc">
    <w:name w:val="y2ıqfc"/>
    <w:basedOn w:val="VarsaylanParagrafYazTipi"/>
    <w:rsid w:val="00BA0E73"/>
  </w:style>
  <w:style w:type="character" w:styleId="Gl">
    <w:name w:val="Strong"/>
    <w:basedOn w:val="VarsaylanParagrafYazTipi"/>
    <w:uiPriority w:val="22"/>
    <w:qFormat/>
    <w:rsid w:val="00BA0E73"/>
    <w:rPr>
      <w:b/>
      <w:bCs/>
    </w:rPr>
  </w:style>
  <w:style w:type="character" w:customStyle="1" w:styleId="html-italic">
    <w:name w:val="html-italic"/>
    <w:basedOn w:val="VarsaylanParagrafYazTipi"/>
    <w:rsid w:val="00BA0E73"/>
  </w:style>
  <w:style w:type="paragraph" w:customStyle="1" w:styleId="GvdeMetni31">
    <w:name w:val="Gövde Metni 31"/>
    <w:basedOn w:val="Normal"/>
    <w:rsid w:val="008157BA"/>
    <w:pPr>
      <w:jc w:val="center"/>
    </w:pPr>
    <w:rPr>
      <w:rFonts w:ascii="HelveticaTürk" w:eastAsia="Times New Roman" w:hAnsi="HelveticaTürk"/>
      <w:b/>
      <w:sz w:val="23"/>
      <w:szCs w:val="20"/>
    </w:rPr>
  </w:style>
  <w:style w:type="paragraph" w:styleId="AralkYok">
    <w:name w:val="No Spacing"/>
    <w:uiPriority w:val="1"/>
    <w:qFormat/>
    <w:rsid w:val="008157B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98312">
      <w:bodyDiv w:val="1"/>
      <w:marLeft w:val="0"/>
      <w:marRight w:val="0"/>
      <w:marTop w:val="0"/>
      <w:marBottom w:val="0"/>
      <w:divBdr>
        <w:top w:val="none" w:sz="0" w:space="0" w:color="auto"/>
        <w:left w:val="none" w:sz="0" w:space="0" w:color="auto"/>
        <w:bottom w:val="none" w:sz="0" w:space="0" w:color="auto"/>
        <w:right w:val="none" w:sz="0" w:space="0" w:color="auto"/>
      </w:divBdr>
      <w:divsChild>
        <w:div w:id="14168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x.doi.org/10.1037/cdp0000311" TargetMode="External"/><Relationship Id="rId26" Type="http://schemas.openxmlformats.org/officeDocument/2006/relationships/hyperlink" Target="https://doi.org/10.1080/08923647.2020.1793642" TargetMode="External"/><Relationship Id="rId21" Type="http://schemas.openxmlformats.org/officeDocument/2006/relationships/hyperlink" Target="https://nces.ed.gov/pubs2021/2021009.pdf" TargetMode="External"/><Relationship Id="rId34" Type="http://schemas.openxmlformats.org/officeDocument/2006/relationships/hyperlink" Target="http://dx.doi.org/10.1080/15348431.2016.122961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x.doi.org/10.1080/15348431.2015.1045143" TargetMode="External"/><Relationship Id="rId25" Type="http://schemas.openxmlformats.org/officeDocument/2006/relationships/hyperlink" Target="https://doi.org/10.1002/ijop.12555" TargetMode="External"/><Relationship Id="rId33" Type="http://schemas.openxmlformats.org/officeDocument/2006/relationships/hyperlink" Target="https://doi.org/10.1177/074355841456129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nces.ed.gov/pubs2019/2019038.pdf" TargetMode="External"/><Relationship Id="rId29" Type="http://schemas.openxmlformats.org/officeDocument/2006/relationships/hyperlink" Target="https://doi.org/10.1037/a0027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dx.doi.org/10.1037/a0038449" TargetMode="External"/><Relationship Id="rId32" Type="http://schemas.openxmlformats.org/officeDocument/2006/relationships/hyperlink" Target="https://dx.doi.org/10.1080/00220671.2015.110368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177/1538192702250620" TargetMode="External"/><Relationship Id="rId28" Type="http://schemas.openxmlformats.org/officeDocument/2006/relationships/hyperlink" Target="http://dx.doi.org/10.1037/cdp0000149"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oi.org/10.1007/s10964-017-0792-3" TargetMode="External"/><Relationship Id="rId31" Type="http://schemas.openxmlformats.org/officeDocument/2006/relationships/hyperlink" Target="https://doi.org/10.1177/0013124516658522" TargetMode="External"/><Relationship Id="rId4" Type="http://schemas.openxmlformats.org/officeDocument/2006/relationships/settings" Target="settings.xml"/><Relationship Id="rId9" Type="http://schemas.openxmlformats.org/officeDocument/2006/relationships/hyperlink" Target="http://www.ijonse.net" TargetMode="External"/><Relationship Id="rId14" Type="http://schemas.openxmlformats.org/officeDocument/2006/relationships/footer" Target="footer1.xml"/><Relationship Id="rId22" Type="http://schemas.openxmlformats.org/officeDocument/2006/relationships/hyperlink" Target="http://faculty.chass.ncsu.edu/garson/PA765/logistic.htm" TargetMode="External"/><Relationship Id="rId27" Type="http://schemas.openxmlformats.org/officeDocument/2006/relationships/hyperlink" Target="https://doi.org/10.1080/09620214.2020.1755881" TargetMode="External"/><Relationship Id="rId30" Type="http://schemas.openxmlformats.org/officeDocument/2006/relationships/hyperlink" Target="https://doi.org/10.1177/0963721418806506"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E0B8-267D-4DB8-B77C-9D0C31E6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8078</Words>
  <Characters>46046</Characters>
  <Application>Microsoft Office Word</Application>
  <DocSecurity>0</DocSecurity>
  <Lines>383</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2023-12-25T11:13:00Z</dcterms:created>
  <dcterms:modified xsi:type="dcterms:W3CDTF">2023-12-25T11:42:00Z</dcterms:modified>
</cp:coreProperties>
</file>