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726F1" w14:textId="7B0C3E20" w:rsidR="00555CA1" w:rsidRDefault="00336A42" w:rsidP="00D6757F">
      <w:pPr>
        <w:widowControl w:val="0"/>
        <w:spacing w:line="360" w:lineRule="auto"/>
        <w:jc w:val="center"/>
        <w:rPr>
          <w:b/>
          <w:szCs w:val="20"/>
        </w:rPr>
      </w:pPr>
      <w:r w:rsidRPr="00336A42">
        <w:rPr>
          <w:b/>
          <w:sz w:val="28"/>
        </w:rPr>
        <w:t>Effect of aphantasia on academic achievement and learning styles in higher education</w:t>
      </w:r>
    </w:p>
    <w:p w14:paraId="565DD1FA" w14:textId="68CFCB53" w:rsidR="0061751E" w:rsidRPr="004052F4" w:rsidRDefault="00336A42" w:rsidP="00D6757F">
      <w:pPr>
        <w:widowControl w:val="0"/>
        <w:spacing w:line="360" w:lineRule="auto"/>
        <w:jc w:val="center"/>
        <w:rPr>
          <w:b/>
          <w:szCs w:val="20"/>
          <w:vertAlign w:val="superscript"/>
        </w:rPr>
      </w:pPr>
      <w:proofErr w:type="spellStart"/>
      <w:r>
        <w:rPr>
          <w:b/>
          <w:szCs w:val="20"/>
        </w:rPr>
        <w:t>Öznur</w:t>
      </w:r>
      <w:proofErr w:type="spellEnd"/>
      <w:r>
        <w:rPr>
          <w:b/>
          <w:szCs w:val="20"/>
        </w:rPr>
        <w:t xml:space="preserve"> </w:t>
      </w:r>
      <w:proofErr w:type="spellStart"/>
      <w:r>
        <w:rPr>
          <w:b/>
          <w:szCs w:val="20"/>
        </w:rPr>
        <w:t>Eker</w:t>
      </w:r>
      <w:proofErr w:type="spellEnd"/>
      <w:r w:rsidR="0061751E" w:rsidRPr="004052F4">
        <w:rPr>
          <w:b/>
          <w:szCs w:val="20"/>
        </w:rPr>
        <w:t xml:space="preserve">, </w:t>
      </w:r>
      <w:r>
        <w:rPr>
          <w:b/>
          <w:szCs w:val="20"/>
        </w:rPr>
        <w:t xml:space="preserve">Bayram </w:t>
      </w:r>
      <w:proofErr w:type="spellStart"/>
      <w:r>
        <w:rPr>
          <w:b/>
          <w:szCs w:val="20"/>
        </w:rPr>
        <w:t>Özer</w:t>
      </w:r>
      <w:proofErr w:type="spellEnd"/>
      <w:r w:rsidR="0061751E" w:rsidRPr="004052F4">
        <w:rPr>
          <w:b/>
          <w:szCs w:val="20"/>
        </w:rPr>
        <w:t xml:space="preserve"> and </w:t>
      </w:r>
      <w:proofErr w:type="spellStart"/>
      <w:r>
        <w:rPr>
          <w:b/>
          <w:szCs w:val="20"/>
        </w:rPr>
        <w:t>Nurgün</w:t>
      </w:r>
      <w:proofErr w:type="spellEnd"/>
      <w:r>
        <w:rPr>
          <w:b/>
          <w:szCs w:val="20"/>
        </w:rPr>
        <w:t xml:space="preserve"> </w:t>
      </w:r>
      <w:proofErr w:type="spellStart"/>
      <w:r>
        <w:rPr>
          <w:b/>
          <w:szCs w:val="20"/>
        </w:rPr>
        <w:t>Gençel</w:t>
      </w:r>
      <w:proofErr w:type="spellEnd"/>
    </w:p>
    <w:p w14:paraId="684D4945" w14:textId="77777777" w:rsidR="0061751E" w:rsidRPr="006E5717" w:rsidRDefault="0061751E" w:rsidP="00D6757F">
      <w:pPr>
        <w:widowControl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40350ADD" w14:textId="77777777" w:rsidTr="004031CA">
        <w:trPr>
          <w:trHeight w:val="203"/>
          <w:jc w:val="center"/>
        </w:trPr>
        <w:tc>
          <w:tcPr>
            <w:tcW w:w="2093" w:type="dxa"/>
            <w:tcBorders>
              <w:bottom w:val="single" w:sz="4" w:space="0" w:color="auto"/>
            </w:tcBorders>
            <w:shd w:val="clear" w:color="auto" w:fill="auto"/>
            <w:vAlign w:val="center"/>
          </w:tcPr>
          <w:p w14:paraId="7800DA05" w14:textId="77777777" w:rsidR="0061751E" w:rsidRPr="00947D16" w:rsidRDefault="0061751E" w:rsidP="00D6757F">
            <w:pPr>
              <w:widowControl w:val="0"/>
              <w:spacing w:line="360" w:lineRule="auto"/>
              <w:rPr>
                <w:b/>
                <w:sz w:val="24"/>
                <w:szCs w:val="24"/>
              </w:rPr>
            </w:pPr>
            <w:r w:rsidRPr="00947D16">
              <w:rPr>
                <w:b/>
                <w:sz w:val="24"/>
                <w:szCs w:val="24"/>
              </w:rPr>
              <w:t>Article Info</w:t>
            </w:r>
          </w:p>
        </w:tc>
        <w:tc>
          <w:tcPr>
            <w:tcW w:w="425" w:type="dxa"/>
            <w:vAlign w:val="center"/>
          </w:tcPr>
          <w:p w14:paraId="53B8D89E" w14:textId="77777777" w:rsidR="0061751E" w:rsidRPr="00947D16"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14:paraId="755B0754" w14:textId="77777777" w:rsidR="0061751E" w:rsidRPr="00947D16" w:rsidRDefault="0061751E" w:rsidP="00D6757F">
            <w:pPr>
              <w:widowControl w:val="0"/>
              <w:spacing w:line="360" w:lineRule="auto"/>
              <w:ind w:left="-15"/>
              <w:rPr>
                <w:b/>
                <w:sz w:val="24"/>
                <w:szCs w:val="24"/>
              </w:rPr>
            </w:pPr>
            <w:r w:rsidRPr="00947D16">
              <w:rPr>
                <w:b/>
                <w:sz w:val="24"/>
                <w:szCs w:val="24"/>
              </w:rPr>
              <w:t>Abstract</w:t>
            </w:r>
          </w:p>
        </w:tc>
      </w:tr>
      <w:tr w:rsidR="0061751E" w:rsidRPr="00DC206E" w14:paraId="101E6E86" w14:textId="77777777" w:rsidTr="004031CA">
        <w:trPr>
          <w:trHeight w:val="2300"/>
          <w:jc w:val="center"/>
        </w:trPr>
        <w:tc>
          <w:tcPr>
            <w:tcW w:w="2093" w:type="dxa"/>
            <w:tcBorders>
              <w:top w:val="single" w:sz="4" w:space="0" w:color="auto"/>
            </w:tcBorders>
            <w:shd w:val="clear" w:color="auto" w:fill="auto"/>
          </w:tcPr>
          <w:p w14:paraId="4DEEA8F6" w14:textId="77777777" w:rsidR="0061751E" w:rsidRPr="00680F89" w:rsidRDefault="0061751E" w:rsidP="00D6757F">
            <w:pPr>
              <w:widowControl w:val="0"/>
              <w:spacing w:line="360" w:lineRule="auto"/>
              <w:rPr>
                <w:b/>
                <w:i/>
                <w:szCs w:val="20"/>
              </w:rPr>
            </w:pPr>
            <w:r w:rsidRPr="00680F89">
              <w:rPr>
                <w:b/>
                <w:i/>
                <w:szCs w:val="20"/>
              </w:rPr>
              <w:t>Article History</w:t>
            </w:r>
          </w:p>
          <w:p w14:paraId="57D4B5B0" w14:textId="77777777" w:rsidR="0061751E" w:rsidRPr="00BE1FB0" w:rsidRDefault="0061751E" w:rsidP="00D6757F">
            <w:pPr>
              <w:widowControl w:val="0"/>
              <w:spacing w:line="360" w:lineRule="auto"/>
              <w:rPr>
                <w:sz w:val="16"/>
                <w:szCs w:val="16"/>
              </w:rPr>
            </w:pPr>
            <w:r w:rsidRPr="00BE1FB0">
              <w:rPr>
                <w:sz w:val="16"/>
                <w:szCs w:val="16"/>
              </w:rPr>
              <w:t>Received:</w:t>
            </w:r>
          </w:p>
          <w:p w14:paraId="164B165A" w14:textId="77777777"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14:paraId="59A5465F" w14:textId="77777777" w:rsidR="0061751E" w:rsidRPr="00BE1FB0" w:rsidRDefault="0061751E" w:rsidP="00D6757F">
            <w:pPr>
              <w:widowControl w:val="0"/>
              <w:spacing w:line="360" w:lineRule="auto"/>
              <w:rPr>
                <w:sz w:val="16"/>
                <w:szCs w:val="16"/>
              </w:rPr>
            </w:pPr>
            <w:r w:rsidRPr="00BE1FB0">
              <w:rPr>
                <w:sz w:val="16"/>
                <w:szCs w:val="16"/>
              </w:rPr>
              <w:t>Accepted:</w:t>
            </w:r>
          </w:p>
          <w:p w14:paraId="348995E3" w14:textId="77777777"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14:paraId="1D47E41B" w14:textId="77777777" w:rsidR="0061751E" w:rsidRPr="00BE1FB0" w:rsidRDefault="0061751E" w:rsidP="00D6757F">
            <w:pPr>
              <w:widowControl w:val="0"/>
              <w:spacing w:line="360" w:lineRule="auto"/>
              <w:rPr>
                <w:sz w:val="16"/>
                <w:szCs w:val="16"/>
              </w:rPr>
            </w:pPr>
          </w:p>
        </w:tc>
        <w:tc>
          <w:tcPr>
            <w:tcW w:w="425" w:type="dxa"/>
          </w:tcPr>
          <w:p w14:paraId="6A06B3F3" w14:textId="77777777" w:rsidR="0061751E" w:rsidRPr="00DC206E" w:rsidRDefault="0061751E" w:rsidP="00D6757F">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1E3270CF" w14:textId="5B5F2F48" w:rsidR="0061751E" w:rsidRPr="003D5CC6" w:rsidRDefault="00336A42" w:rsidP="00D6757F">
            <w:pPr>
              <w:widowControl w:val="0"/>
              <w:spacing w:line="360" w:lineRule="auto"/>
              <w:ind w:left="-15"/>
              <w:rPr>
                <w:szCs w:val="20"/>
              </w:rPr>
            </w:pPr>
            <w:r w:rsidRPr="00336A42">
              <w:rPr>
                <w:szCs w:val="20"/>
              </w:rPr>
              <w:t xml:space="preserve">This investigation targets to clarify Learning Styles (LSs) of aphantasic and non-aphantasic higher education students/graduates in accordance with </w:t>
            </w:r>
            <w:proofErr w:type="spellStart"/>
            <w:r w:rsidRPr="00336A42">
              <w:rPr>
                <w:szCs w:val="20"/>
              </w:rPr>
              <w:t>Vermunt</w:t>
            </w:r>
            <w:proofErr w:type="spellEnd"/>
            <w:r w:rsidRPr="00336A42">
              <w:rPr>
                <w:szCs w:val="20"/>
              </w:rPr>
              <w:t xml:space="preserve"> Learning Style Model and to LSs of the participants according to their demographic characteristics such as gender and age. Model of study is relational </w:t>
            </w:r>
            <w:proofErr w:type="gramStart"/>
            <w:r w:rsidRPr="00336A42">
              <w:rPr>
                <w:szCs w:val="20"/>
              </w:rPr>
              <w:t>screening</w:t>
            </w:r>
            <w:proofErr w:type="gramEnd"/>
            <w:r w:rsidRPr="00336A42">
              <w:rPr>
                <w:szCs w:val="20"/>
              </w:rPr>
              <w:t xml:space="preserve"> and research was carried out online with 260 volunteer participants. "</w:t>
            </w:r>
            <w:proofErr w:type="spellStart"/>
            <w:r w:rsidRPr="00336A42">
              <w:rPr>
                <w:szCs w:val="20"/>
              </w:rPr>
              <w:t>Vermunt</w:t>
            </w:r>
            <w:proofErr w:type="spellEnd"/>
            <w:r w:rsidRPr="00336A42">
              <w:rPr>
                <w:szCs w:val="20"/>
              </w:rPr>
              <w:t xml:space="preserve"> Learning Styles Inventory" was utilized to determine LSs of two separate groups with and without </w:t>
            </w:r>
            <w:proofErr w:type="spellStart"/>
            <w:r w:rsidRPr="00336A42">
              <w:rPr>
                <w:szCs w:val="20"/>
              </w:rPr>
              <w:t>aphanatic</w:t>
            </w:r>
            <w:proofErr w:type="spellEnd"/>
            <w:r w:rsidRPr="00336A42">
              <w:rPr>
                <w:szCs w:val="20"/>
              </w:rPr>
              <w:t xml:space="preserve">. Although there are many studies on the LSs in literature, there are very limited study on the </w:t>
            </w:r>
            <w:proofErr w:type="spellStart"/>
            <w:r w:rsidRPr="00336A42">
              <w:rPr>
                <w:szCs w:val="20"/>
              </w:rPr>
              <w:t>Vermunt</w:t>
            </w:r>
            <w:proofErr w:type="spellEnd"/>
            <w:r w:rsidRPr="00336A42">
              <w:rPr>
                <w:szCs w:val="20"/>
              </w:rPr>
              <w:t xml:space="preserve"> Learning Style. Differences were found in the learning orientation and academic success of aphantasic people compared to non-aphantasic people. It was concluded that academic achievements of aphantasic participants were higher than the academic achievements of the non-aphantasic participants. When literature is examined, there is no research to examine level of imagination in terms of the LSs and academic success. Therefore, it is thought that the studies to be carried out by expanding scope with different sample groups will contribute to the aphantasic individuals, students and educators with this research. More studies can be done on this subject and experiments can be made for its use in the field of guidance.</w:t>
            </w:r>
          </w:p>
        </w:tc>
      </w:tr>
      <w:tr w:rsidR="0061751E" w:rsidRPr="00DC206E" w14:paraId="4555D85D" w14:textId="77777777" w:rsidTr="004031CA">
        <w:trPr>
          <w:jc w:val="center"/>
        </w:trPr>
        <w:tc>
          <w:tcPr>
            <w:tcW w:w="2093" w:type="dxa"/>
            <w:tcBorders>
              <w:top w:val="single" w:sz="4" w:space="0" w:color="auto"/>
              <w:bottom w:val="single" w:sz="4" w:space="0" w:color="auto"/>
            </w:tcBorders>
            <w:shd w:val="clear" w:color="auto" w:fill="auto"/>
          </w:tcPr>
          <w:p w14:paraId="7A82BC6E" w14:textId="77777777" w:rsidR="0061751E" w:rsidRPr="00BE1FB0" w:rsidRDefault="0061751E" w:rsidP="00D6757F">
            <w:pPr>
              <w:widowControl w:val="0"/>
              <w:spacing w:line="360" w:lineRule="auto"/>
              <w:rPr>
                <w:b/>
                <w:i/>
                <w:szCs w:val="20"/>
              </w:rPr>
            </w:pPr>
            <w:r w:rsidRPr="00BE1FB0">
              <w:rPr>
                <w:b/>
                <w:i/>
                <w:szCs w:val="20"/>
              </w:rPr>
              <w:t>Keywords</w:t>
            </w:r>
          </w:p>
          <w:p w14:paraId="0AA71FFD" w14:textId="77777777" w:rsidR="00336A42" w:rsidRDefault="00336A42" w:rsidP="00D6757F">
            <w:pPr>
              <w:widowControl w:val="0"/>
              <w:spacing w:line="360" w:lineRule="auto"/>
              <w:jc w:val="left"/>
              <w:rPr>
                <w:sz w:val="16"/>
                <w:szCs w:val="16"/>
              </w:rPr>
            </w:pPr>
            <w:proofErr w:type="spellStart"/>
            <w:r w:rsidRPr="00336A42">
              <w:rPr>
                <w:sz w:val="16"/>
                <w:szCs w:val="16"/>
              </w:rPr>
              <w:t>Aphantitic</w:t>
            </w:r>
            <w:proofErr w:type="spellEnd"/>
            <w:r w:rsidRPr="00336A42">
              <w:rPr>
                <w:sz w:val="16"/>
                <w:szCs w:val="16"/>
              </w:rPr>
              <w:t xml:space="preserve"> </w:t>
            </w:r>
          </w:p>
          <w:p w14:paraId="22BD71C3" w14:textId="77777777" w:rsidR="00336A42" w:rsidRDefault="00336A42" w:rsidP="00D6757F">
            <w:pPr>
              <w:widowControl w:val="0"/>
              <w:spacing w:line="360" w:lineRule="auto"/>
              <w:jc w:val="left"/>
              <w:rPr>
                <w:sz w:val="16"/>
                <w:szCs w:val="16"/>
              </w:rPr>
            </w:pPr>
            <w:proofErr w:type="spellStart"/>
            <w:r w:rsidRPr="00336A42">
              <w:rPr>
                <w:sz w:val="16"/>
                <w:szCs w:val="16"/>
              </w:rPr>
              <w:t>Vermunt</w:t>
            </w:r>
            <w:proofErr w:type="spellEnd"/>
            <w:r w:rsidRPr="00336A42">
              <w:rPr>
                <w:sz w:val="16"/>
                <w:szCs w:val="16"/>
              </w:rPr>
              <w:t xml:space="preserve"> learning style model</w:t>
            </w:r>
            <w:r w:rsidRPr="00336A42">
              <w:rPr>
                <w:sz w:val="16"/>
                <w:szCs w:val="16"/>
              </w:rPr>
              <w:t xml:space="preserve"> </w:t>
            </w:r>
          </w:p>
          <w:p w14:paraId="42C513B7" w14:textId="77777777" w:rsidR="00336A42" w:rsidRDefault="00336A42" w:rsidP="00D6757F">
            <w:pPr>
              <w:widowControl w:val="0"/>
              <w:spacing w:line="360" w:lineRule="auto"/>
              <w:jc w:val="left"/>
              <w:rPr>
                <w:sz w:val="16"/>
                <w:szCs w:val="16"/>
              </w:rPr>
            </w:pPr>
            <w:proofErr w:type="spellStart"/>
            <w:r w:rsidRPr="00336A42">
              <w:rPr>
                <w:sz w:val="16"/>
                <w:szCs w:val="16"/>
              </w:rPr>
              <w:t>Aphanthasia</w:t>
            </w:r>
            <w:proofErr w:type="spellEnd"/>
            <w:r w:rsidRPr="00336A42">
              <w:rPr>
                <w:sz w:val="16"/>
                <w:szCs w:val="16"/>
              </w:rPr>
              <w:t xml:space="preserve"> </w:t>
            </w:r>
          </w:p>
          <w:p w14:paraId="2E66B5C2" w14:textId="04C75609" w:rsidR="0061751E" w:rsidRPr="009E14FD" w:rsidRDefault="00336A42" w:rsidP="00D6757F">
            <w:pPr>
              <w:widowControl w:val="0"/>
              <w:spacing w:line="360" w:lineRule="auto"/>
              <w:jc w:val="left"/>
              <w:rPr>
                <w:sz w:val="18"/>
                <w:szCs w:val="18"/>
              </w:rPr>
            </w:pPr>
            <w:r w:rsidRPr="00336A42">
              <w:rPr>
                <w:sz w:val="16"/>
                <w:szCs w:val="16"/>
              </w:rPr>
              <w:t>Visual imagery</w:t>
            </w:r>
          </w:p>
        </w:tc>
        <w:tc>
          <w:tcPr>
            <w:tcW w:w="425" w:type="dxa"/>
          </w:tcPr>
          <w:p w14:paraId="3557AD64" w14:textId="77777777" w:rsidR="0061751E" w:rsidRPr="00DC206E" w:rsidRDefault="0061751E" w:rsidP="00D6757F">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14:paraId="7FA3ADF7" w14:textId="77777777" w:rsidR="0061751E" w:rsidRPr="00DC206E" w:rsidRDefault="0061751E" w:rsidP="00D6757F">
            <w:pPr>
              <w:widowControl w:val="0"/>
              <w:spacing w:line="360" w:lineRule="auto"/>
              <w:rPr>
                <w:b/>
                <w:sz w:val="24"/>
                <w:szCs w:val="20"/>
              </w:rPr>
            </w:pPr>
          </w:p>
        </w:tc>
      </w:tr>
    </w:tbl>
    <w:p w14:paraId="095A3663" w14:textId="77777777" w:rsidR="0061751E" w:rsidRPr="006E5717" w:rsidRDefault="0061751E" w:rsidP="00D6757F">
      <w:pPr>
        <w:widowControl w:val="0"/>
        <w:spacing w:line="360" w:lineRule="auto"/>
        <w:rPr>
          <w:szCs w:val="20"/>
        </w:rPr>
      </w:pPr>
    </w:p>
    <w:p w14:paraId="64E53C32" w14:textId="77777777" w:rsidR="0061751E" w:rsidRPr="009B6AB6" w:rsidRDefault="0061751E" w:rsidP="00D6757F">
      <w:pPr>
        <w:widowControl w:val="0"/>
        <w:spacing w:line="360" w:lineRule="auto"/>
        <w:rPr>
          <w:b/>
        </w:rPr>
      </w:pPr>
      <w:bookmarkStart w:id="0" w:name="OLE_LINK7"/>
      <w:bookmarkStart w:id="1" w:name="OLE_LINK8"/>
      <w:r w:rsidRPr="006E5717">
        <w:rPr>
          <w:b/>
          <w:sz w:val="24"/>
        </w:rPr>
        <w:t>Introduction</w:t>
      </w:r>
    </w:p>
    <w:p w14:paraId="494327E6" w14:textId="77777777" w:rsidR="00176378" w:rsidRDefault="00176378" w:rsidP="00D6757F">
      <w:pPr>
        <w:widowControl w:val="0"/>
        <w:spacing w:line="360" w:lineRule="auto"/>
        <w:rPr>
          <w:color w:val="000000"/>
        </w:rPr>
      </w:pPr>
    </w:p>
    <w:bookmarkEnd w:id="0"/>
    <w:bookmarkEnd w:id="1"/>
    <w:p w14:paraId="09702E38" w14:textId="77777777" w:rsidR="00336A42" w:rsidRDefault="00336A42" w:rsidP="00336A42">
      <w:pPr>
        <w:widowControl w:val="0"/>
        <w:spacing w:line="360" w:lineRule="auto"/>
        <w:rPr>
          <w:color w:val="000000"/>
        </w:rPr>
      </w:pPr>
      <w:r w:rsidRPr="00336A42">
        <w:rPr>
          <w:color w:val="000000"/>
        </w:rPr>
        <w:t xml:space="preserve">Every human being is born into a rapid circle of learning from the first day of existence. In general, learning is an active process in which we use objects, experiences, and conversations to mentally construct the world (Dewey, 1938; Piaget, 1964; Vygotsky &amp; Cole, 1978). Looking at this definition, we can define the concept of learning as the ability to understand and organize our own learning process. Talents may not be realized to the same degree in every person. In this context, it is possible to say that individual variances are what cause learning to vary from person to person (Felder and Brent, 2005). At this point, it is crucial for individuals that persons know their own disparities and to discover their learning style accordingly. </w:t>
      </w:r>
      <w:proofErr w:type="gramStart"/>
      <w:r w:rsidRPr="00336A42">
        <w:rPr>
          <w:color w:val="000000"/>
        </w:rPr>
        <w:t>In order to</w:t>
      </w:r>
      <w:proofErr w:type="gramEnd"/>
      <w:r w:rsidRPr="00336A42">
        <w:rPr>
          <w:color w:val="000000"/>
        </w:rPr>
        <w:t xml:space="preserve"> see how college students engage in their learning activities, </w:t>
      </w:r>
      <w:proofErr w:type="spellStart"/>
      <w:r w:rsidRPr="00336A42">
        <w:rPr>
          <w:color w:val="000000"/>
        </w:rPr>
        <w:t>Vermunt</w:t>
      </w:r>
      <w:proofErr w:type="spellEnd"/>
      <w:r w:rsidRPr="00336A42">
        <w:rPr>
          <w:color w:val="000000"/>
        </w:rPr>
        <w:t xml:space="preserve"> (1995) produced an inventory of the LSs and correspondingly presented the </w:t>
      </w:r>
      <w:proofErr w:type="spellStart"/>
      <w:r w:rsidRPr="00336A42">
        <w:rPr>
          <w:color w:val="000000"/>
        </w:rPr>
        <w:t>Vermunt</w:t>
      </w:r>
      <w:proofErr w:type="spellEnd"/>
      <w:r w:rsidRPr="00336A42">
        <w:rPr>
          <w:color w:val="000000"/>
        </w:rPr>
        <w:t xml:space="preserve"> Learning Styles Model (VLSM). The inventory's goal is to ascertain how college students view their own </w:t>
      </w:r>
      <w:proofErr w:type="gramStart"/>
      <w:r w:rsidRPr="00336A42">
        <w:rPr>
          <w:color w:val="000000"/>
        </w:rPr>
        <w:t>learning</w:t>
      </w:r>
      <w:proofErr w:type="gramEnd"/>
      <w:r w:rsidRPr="00336A42">
        <w:rPr>
          <w:color w:val="000000"/>
        </w:rPr>
        <w:t xml:space="preserve"> and the processes involved in learning. Determining students' learning styles will allow educators to better understand them. However, what is important at this point is that the students' awareness of their individual differences is high. </w:t>
      </w:r>
    </w:p>
    <w:p w14:paraId="2A819CA8" w14:textId="77777777" w:rsidR="00336A42" w:rsidRPr="00336A42" w:rsidRDefault="00336A42" w:rsidP="00336A42">
      <w:pPr>
        <w:widowControl w:val="0"/>
        <w:spacing w:line="360" w:lineRule="auto"/>
        <w:rPr>
          <w:color w:val="000000"/>
        </w:rPr>
      </w:pPr>
    </w:p>
    <w:p w14:paraId="2FA9CAAC" w14:textId="77777777" w:rsidR="00336A42" w:rsidRPr="00336A42" w:rsidRDefault="00336A42" w:rsidP="00336A42">
      <w:pPr>
        <w:widowControl w:val="0"/>
        <w:spacing w:line="360" w:lineRule="auto"/>
        <w:rPr>
          <w:color w:val="000000"/>
        </w:rPr>
      </w:pPr>
      <w:r w:rsidRPr="00336A42">
        <w:rPr>
          <w:color w:val="000000"/>
        </w:rPr>
        <w:t xml:space="preserve"> </w:t>
      </w:r>
    </w:p>
    <w:p w14:paraId="6608726C" w14:textId="6D1A8235" w:rsidR="00336A42" w:rsidRDefault="00336A42" w:rsidP="00336A42">
      <w:pPr>
        <w:widowControl w:val="0"/>
        <w:spacing w:line="360" w:lineRule="auto"/>
        <w:jc w:val="center"/>
        <w:rPr>
          <w:color w:val="000000"/>
        </w:rPr>
      </w:pPr>
      <w:r w:rsidRPr="00EC2BCC">
        <w:rPr>
          <w:noProof/>
          <w:szCs w:val="20"/>
        </w:rPr>
        <w:lastRenderedPageBreak/>
        <w:drawing>
          <wp:inline distT="0" distB="0" distL="0" distR="0" wp14:anchorId="2D021774" wp14:editId="444A7BB5">
            <wp:extent cx="2489310" cy="1053943"/>
            <wp:effectExtent l="0" t="0" r="0" b="635"/>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1117" cy="1135152"/>
                    </a:xfrm>
                    <a:prstGeom prst="rect">
                      <a:avLst/>
                    </a:prstGeom>
                  </pic:spPr>
                </pic:pic>
              </a:graphicData>
            </a:graphic>
          </wp:inline>
        </w:drawing>
      </w:r>
    </w:p>
    <w:p w14:paraId="1FD10865" w14:textId="744068FC" w:rsidR="00336A42" w:rsidRDefault="00336A42" w:rsidP="00336A42">
      <w:pPr>
        <w:widowControl w:val="0"/>
        <w:spacing w:line="360" w:lineRule="auto"/>
        <w:jc w:val="center"/>
        <w:rPr>
          <w:color w:val="000000"/>
        </w:rPr>
      </w:pPr>
      <w:r w:rsidRPr="00336A42">
        <w:rPr>
          <w:color w:val="000000"/>
        </w:rPr>
        <w:t>Figure 1. Representative picture of persons with and without Aphantasia.</w:t>
      </w:r>
    </w:p>
    <w:p w14:paraId="67F9CEBC" w14:textId="77777777" w:rsidR="00336A42" w:rsidRPr="00336A42" w:rsidRDefault="00336A42" w:rsidP="00336A42">
      <w:pPr>
        <w:widowControl w:val="0"/>
        <w:spacing w:line="360" w:lineRule="auto"/>
        <w:jc w:val="center"/>
        <w:rPr>
          <w:color w:val="000000"/>
        </w:rPr>
      </w:pPr>
    </w:p>
    <w:p w14:paraId="313BD15A" w14:textId="77777777" w:rsidR="00336A42" w:rsidRDefault="00336A42" w:rsidP="00336A42">
      <w:pPr>
        <w:widowControl w:val="0"/>
        <w:spacing w:line="360" w:lineRule="auto"/>
        <w:rPr>
          <w:color w:val="000000"/>
        </w:rPr>
      </w:pPr>
      <w:r w:rsidRPr="00336A42">
        <w:rPr>
          <w:color w:val="000000"/>
        </w:rPr>
        <w:t xml:space="preserve">The word aphantasia, the root of the disease aphantasia, is phrase to define a person not seeing something when eyes are closed. It can be difficult for a student with opiate disorder to learn using visual elements, so teachers need to use different LSs. Because mental imagery is of great </w:t>
      </w:r>
      <w:proofErr w:type="spellStart"/>
      <w:r w:rsidRPr="00336A42">
        <w:rPr>
          <w:color w:val="000000"/>
        </w:rPr>
        <w:t>importancebecause</w:t>
      </w:r>
      <w:proofErr w:type="spellEnd"/>
      <w:r w:rsidRPr="00336A42">
        <w:rPr>
          <w:color w:val="000000"/>
        </w:rPr>
        <w:t xml:space="preserve"> it can accelerate learning and improve the performance of all kinds of skills (Schuster et al., 2011). In addition, those with </w:t>
      </w:r>
      <w:proofErr w:type="spellStart"/>
      <w:r w:rsidRPr="00336A42">
        <w:rPr>
          <w:color w:val="000000"/>
        </w:rPr>
        <w:t>aphanesis</w:t>
      </w:r>
      <w:proofErr w:type="spellEnd"/>
      <w:r w:rsidRPr="00336A42">
        <w:rPr>
          <w:color w:val="000000"/>
        </w:rPr>
        <w:t xml:space="preserve"> have a reduced ability to contribute to basic cognitive processes such as being able to visualize future events due to lack of visual imagery (Dawes et al., 2020).</w:t>
      </w:r>
    </w:p>
    <w:p w14:paraId="5C869B5F" w14:textId="77777777" w:rsidR="00336A42" w:rsidRPr="00336A42" w:rsidRDefault="00336A42" w:rsidP="00336A42">
      <w:pPr>
        <w:widowControl w:val="0"/>
        <w:spacing w:line="360" w:lineRule="auto"/>
        <w:rPr>
          <w:color w:val="000000"/>
        </w:rPr>
      </w:pPr>
    </w:p>
    <w:p w14:paraId="5EDB282F" w14:textId="16EABA15" w:rsidR="00336A42" w:rsidRPr="00336A42" w:rsidRDefault="00336A42" w:rsidP="00336A42">
      <w:pPr>
        <w:widowControl w:val="0"/>
        <w:spacing w:line="360" w:lineRule="auto"/>
        <w:rPr>
          <w:color w:val="000000"/>
        </w:rPr>
      </w:pPr>
      <w:r w:rsidRPr="00336A42">
        <w:rPr>
          <w:b/>
        </w:rPr>
        <w:t>Background</w:t>
      </w:r>
    </w:p>
    <w:p w14:paraId="51002BC3" w14:textId="77777777" w:rsidR="00336A42" w:rsidRDefault="00336A42" w:rsidP="00336A42">
      <w:pPr>
        <w:widowControl w:val="0"/>
        <w:spacing w:line="360" w:lineRule="auto"/>
        <w:rPr>
          <w:color w:val="000000"/>
        </w:rPr>
      </w:pPr>
    </w:p>
    <w:p w14:paraId="18A17FA6" w14:textId="68138C74" w:rsidR="00336A42" w:rsidRPr="00336A42" w:rsidRDefault="00336A42" w:rsidP="00336A42">
      <w:pPr>
        <w:widowControl w:val="0"/>
        <w:spacing w:line="360" w:lineRule="auto"/>
        <w:rPr>
          <w:color w:val="000000"/>
        </w:rPr>
      </w:pPr>
      <w:r w:rsidRPr="00336A42">
        <w:rPr>
          <w:i/>
        </w:rPr>
        <w:t>Aphantasia</w:t>
      </w:r>
    </w:p>
    <w:p w14:paraId="047DE316" w14:textId="77777777" w:rsidR="00336A42" w:rsidRDefault="00336A42" w:rsidP="00336A42">
      <w:pPr>
        <w:widowControl w:val="0"/>
        <w:spacing w:line="360" w:lineRule="auto"/>
        <w:rPr>
          <w:color w:val="000000"/>
        </w:rPr>
      </w:pPr>
    </w:p>
    <w:p w14:paraId="06AABE5A" w14:textId="0E9BA7B7" w:rsidR="00336A42" w:rsidRDefault="00336A42" w:rsidP="00336A42">
      <w:pPr>
        <w:widowControl w:val="0"/>
        <w:spacing w:line="360" w:lineRule="auto"/>
        <w:rPr>
          <w:color w:val="000000"/>
        </w:rPr>
      </w:pPr>
      <w:r w:rsidRPr="00336A42">
        <w:rPr>
          <w:color w:val="000000"/>
        </w:rPr>
        <w:t xml:space="preserve">To briefly define the term "aphantasia" is the lack of ability in a person to imagine mental images. In the first scientific study of this concept, Galton (1880), using the term "mental visualization", discovered that there are different degrees of ability to form vivid images in people's minds.  Ongoing studies on the subject have also explained that the experience of imagery depends on the activity that allows us to produce images in the pre-parietal and posterior brain regions (De Vito &amp; Bartolomeo, 2015; </w:t>
      </w:r>
      <w:proofErr w:type="spellStart"/>
      <w:r w:rsidRPr="00336A42">
        <w:rPr>
          <w:color w:val="000000"/>
        </w:rPr>
        <w:t>Ishai</w:t>
      </w:r>
      <w:proofErr w:type="spellEnd"/>
      <w:r w:rsidRPr="00336A42">
        <w:rPr>
          <w:color w:val="000000"/>
        </w:rPr>
        <w:t xml:space="preserve">, 2010). Visual imagery research was not in demand in years when behaviorism was embraced as psychological theory. Zeman et al. (2015) and Keogh and Pearson (2017) observed important change in the brain activation among people having </w:t>
      </w:r>
      <w:proofErr w:type="spellStart"/>
      <w:r w:rsidRPr="00336A42">
        <w:rPr>
          <w:color w:val="000000"/>
        </w:rPr>
        <w:t>aphanexia</w:t>
      </w:r>
      <w:proofErr w:type="spellEnd"/>
      <w:r w:rsidRPr="00336A42">
        <w:rPr>
          <w:color w:val="000000"/>
        </w:rPr>
        <w:t xml:space="preserve"> and control group, although two groups did not present difference in a spatial performance assignment in neurological investigation on </w:t>
      </w:r>
      <w:proofErr w:type="spellStart"/>
      <w:r w:rsidRPr="00336A42">
        <w:rPr>
          <w:color w:val="000000"/>
        </w:rPr>
        <w:t>aphanexia</w:t>
      </w:r>
      <w:proofErr w:type="spellEnd"/>
      <w:r w:rsidRPr="00336A42">
        <w:rPr>
          <w:color w:val="000000"/>
        </w:rPr>
        <w:t xml:space="preserve"> and spatial visualization. Investigators have also theorized that visual images in visual cortex are continued via feedback from frontal cortex, suggesting that persons having </w:t>
      </w:r>
      <w:proofErr w:type="spellStart"/>
      <w:r w:rsidRPr="00336A42">
        <w:rPr>
          <w:color w:val="000000"/>
        </w:rPr>
        <w:t>aphanexia</w:t>
      </w:r>
      <w:proofErr w:type="spellEnd"/>
      <w:r w:rsidRPr="00336A42">
        <w:rPr>
          <w:color w:val="000000"/>
        </w:rPr>
        <w:t xml:space="preserve"> can present different levels of activity in one or </w:t>
      </w:r>
      <w:proofErr w:type="gramStart"/>
      <w:r w:rsidRPr="00336A42">
        <w:rPr>
          <w:color w:val="000000"/>
        </w:rPr>
        <w:t>both of these</w:t>
      </w:r>
      <w:proofErr w:type="gramEnd"/>
      <w:r w:rsidRPr="00336A42">
        <w:rPr>
          <w:color w:val="000000"/>
        </w:rPr>
        <w:t xml:space="preserve"> parts of brain (Keogh and Pearson, 2017: 6). Although researchers know that those with </w:t>
      </w:r>
      <w:proofErr w:type="spellStart"/>
      <w:r w:rsidRPr="00336A42">
        <w:rPr>
          <w:color w:val="000000"/>
        </w:rPr>
        <w:t>apantasia</w:t>
      </w:r>
      <w:proofErr w:type="spellEnd"/>
      <w:r w:rsidRPr="00336A42">
        <w:rPr>
          <w:color w:val="000000"/>
        </w:rPr>
        <w:t xml:space="preserve"> are unable to perform visual imagery, they estimate that they keep using of mentally visual images in diverse technique (Jacobs, Schwarzkopf &amp; </w:t>
      </w:r>
      <w:proofErr w:type="spellStart"/>
      <w:r w:rsidRPr="00336A42">
        <w:rPr>
          <w:color w:val="000000"/>
        </w:rPr>
        <w:t>Silvanto</w:t>
      </w:r>
      <w:proofErr w:type="spellEnd"/>
      <w:r w:rsidRPr="00336A42">
        <w:rPr>
          <w:color w:val="000000"/>
        </w:rPr>
        <w:t xml:space="preserve">, 2018). To investigate the inner workings of the mind-eye in more depth, Bainbridge et al. (2021) set out to investigate the differences among persons having </w:t>
      </w:r>
      <w:proofErr w:type="spellStart"/>
      <w:r w:rsidRPr="00336A42">
        <w:rPr>
          <w:color w:val="000000"/>
        </w:rPr>
        <w:t>aphanesis</w:t>
      </w:r>
      <w:proofErr w:type="spellEnd"/>
      <w:r w:rsidRPr="00336A42">
        <w:rPr>
          <w:color w:val="000000"/>
        </w:rPr>
        <w:t xml:space="preserve"> and people having usual imagery skills. It has been revealed that those with </w:t>
      </w:r>
      <w:proofErr w:type="spellStart"/>
      <w:r w:rsidRPr="00336A42">
        <w:rPr>
          <w:color w:val="000000"/>
        </w:rPr>
        <w:t>aphanesis</w:t>
      </w:r>
      <w:proofErr w:type="spellEnd"/>
      <w:r w:rsidRPr="00336A42">
        <w:rPr>
          <w:color w:val="000000"/>
        </w:rPr>
        <w:t xml:space="preserve"> have difficulty remembering the objects in the picture when drawing from memory. The aphantasic group also used more symbols and text in their interpretation. As a result of the literature search, </w:t>
      </w:r>
      <w:proofErr w:type="spellStart"/>
      <w:r w:rsidRPr="00336A42">
        <w:rPr>
          <w:color w:val="000000"/>
        </w:rPr>
        <w:t>aphane</w:t>
      </w:r>
      <w:proofErr w:type="spellEnd"/>
      <w:r w:rsidRPr="00336A42">
        <w:rPr>
          <w:color w:val="000000"/>
        </w:rPr>
        <w:t xml:space="preserve"> is seen as an individual difference and it is thought that it can affect the life of the individual in many ways. Learning is a process that continues throughout our lives, and visual images are one of the personal toolkits used in learning activity. Thus, the LSs and </w:t>
      </w:r>
      <w:proofErr w:type="spellStart"/>
      <w:r w:rsidRPr="00336A42">
        <w:rPr>
          <w:color w:val="000000"/>
        </w:rPr>
        <w:t>aphanexia</w:t>
      </w:r>
      <w:proofErr w:type="spellEnd"/>
      <w:r w:rsidRPr="00336A42">
        <w:rPr>
          <w:color w:val="000000"/>
        </w:rPr>
        <w:t xml:space="preserve"> are a topic that needs to be investigated. </w:t>
      </w:r>
    </w:p>
    <w:p w14:paraId="25CBF908" w14:textId="77777777" w:rsidR="00336A42" w:rsidRPr="00336A42" w:rsidRDefault="00336A42" w:rsidP="00336A42">
      <w:pPr>
        <w:widowControl w:val="0"/>
        <w:spacing w:line="360" w:lineRule="auto"/>
        <w:rPr>
          <w:color w:val="000000"/>
        </w:rPr>
      </w:pPr>
    </w:p>
    <w:p w14:paraId="5F553B44" w14:textId="31BBC71D" w:rsidR="00336A42" w:rsidRPr="00336A42" w:rsidRDefault="00336A42" w:rsidP="00336A42">
      <w:pPr>
        <w:widowControl w:val="0"/>
        <w:spacing w:line="360" w:lineRule="auto"/>
        <w:rPr>
          <w:i/>
        </w:rPr>
      </w:pPr>
      <w:r w:rsidRPr="00336A42">
        <w:rPr>
          <w:i/>
        </w:rPr>
        <w:lastRenderedPageBreak/>
        <w:t>Learning styles (LSs)</w:t>
      </w:r>
    </w:p>
    <w:p w14:paraId="22DED78B" w14:textId="77777777" w:rsidR="00336A42" w:rsidRDefault="00336A42" w:rsidP="00336A42">
      <w:pPr>
        <w:widowControl w:val="0"/>
        <w:spacing w:line="360" w:lineRule="auto"/>
        <w:rPr>
          <w:color w:val="000000"/>
        </w:rPr>
      </w:pPr>
    </w:p>
    <w:p w14:paraId="63CF7EDC" w14:textId="0BD26E51" w:rsidR="00336A42" w:rsidRDefault="00336A42" w:rsidP="00336A42">
      <w:pPr>
        <w:widowControl w:val="0"/>
        <w:spacing w:line="360" w:lineRule="auto"/>
        <w:rPr>
          <w:color w:val="000000"/>
        </w:rPr>
      </w:pPr>
      <w:r w:rsidRPr="00336A42">
        <w:rPr>
          <w:color w:val="000000"/>
        </w:rPr>
        <w:t xml:space="preserve">Several definitions exist for the LSs </w:t>
      </w:r>
      <w:proofErr w:type="gramStart"/>
      <w:r w:rsidRPr="00336A42">
        <w:rPr>
          <w:color w:val="000000"/>
        </w:rPr>
        <w:t>as a result of</w:t>
      </w:r>
      <w:proofErr w:type="gramEnd"/>
      <w:r w:rsidRPr="00336A42">
        <w:rPr>
          <w:color w:val="000000"/>
        </w:rPr>
        <w:t xml:space="preserve"> literature screening and often cause misunderstanding for dissimilarities and similarities between learning methods, working approaches, orientations, patterns, process and strategies of the learning (</w:t>
      </w:r>
      <w:proofErr w:type="spellStart"/>
      <w:r w:rsidRPr="00336A42">
        <w:rPr>
          <w:color w:val="000000"/>
        </w:rPr>
        <w:t>Coffield</w:t>
      </w:r>
      <w:proofErr w:type="spellEnd"/>
      <w:r w:rsidRPr="00336A42">
        <w:rPr>
          <w:color w:val="000000"/>
        </w:rPr>
        <w:t xml:space="preserve">, Moseley, Hall, and Ecclestone, 2004; McManus et al. 2004). The LSs have been measured by educators and psychologists using </w:t>
      </w:r>
      <w:proofErr w:type="gramStart"/>
      <w:r w:rsidRPr="00336A42">
        <w:rPr>
          <w:color w:val="000000"/>
        </w:rPr>
        <w:t>a number of</w:t>
      </w:r>
      <w:proofErr w:type="gramEnd"/>
      <w:r w:rsidRPr="00336A42">
        <w:rPr>
          <w:color w:val="000000"/>
        </w:rPr>
        <w:t xml:space="preserve"> assessment techniques. Scientists who study the LSs have suggested several descriptions of the LSs. For example, McCarthy (1987) defines the LSs as "the preferences of the individual in the perception and processing of information", while </w:t>
      </w:r>
      <w:proofErr w:type="spellStart"/>
      <w:r w:rsidRPr="00336A42">
        <w:rPr>
          <w:color w:val="000000"/>
        </w:rPr>
        <w:t>Grasha</w:t>
      </w:r>
      <w:proofErr w:type="spellEnd"/>
      <w:r w:rsidRPr="00336A42">
        <w:rPr>
          <w:color w:val="000000"/>
        </w:rPr>
        <w:t xml:space="preserve"> (1996) describes the LSs as follows: "It is the ability to combine skills and learning experiences in the process of acquiring knowledge." Dunn and Dunn (1993) assert that each person has a distinctive the LSs that is </w:t>
      </w:r>
      <w:proofErr w:type="gramStart"/>
      <w:r w:rsidRPr="00336A42">
        <w:rPr>
          <w:color w:val="000000"/>
        </w:rPr>
        <w:t>similar to</w:t>
      </w:r>
      <w:proofErr w:type="gramEnd"/>
      <w:r w:rsidRPr="00336A42">
        <w:rPr>
          <w:color w:val="000000"/>
        </w:rPr>
        <w:t xml:space="preserve"> a fingerprint. </w:t>
      </w:r>
    </w:p>
    <w:p w14:paraId="2241FEB0" w14:textId="77777777" w:rsidR="00336A42" w:rsidRPr="00336A42" w:rsidRDefault="00336A42" w:rsidP="00336A42">
      <w:pPr>
        <w:widowControl w:val="0"/>
        <w:spacing w:line="360" w:lineRule="auto"/>
        <w:rPr>
          <w:color w:val="000000"/>
        </w:rPr>
      </w:pPr>
    </w:p>
    <w:p w14:paraId="2A42B1FD" w14:textId="4485E391" w:rsidR="00336A42" w:rsidRPr="00336A42" w:rsidRDefault="00336A42" w:rsidP="00336A42">
      <w:pPr>
        <w:widowControl w:val="0"/>
        <w:spacing w:line="360" w:lineRule="auto"/>
        <w:rPr>
          <w:i/>
        </w:rPr>
      </w:pPr>
      <w:r w:rsidRPr="00336A42">
        <w:rPr>
          <w:i/>
        </w:rPr>
        <w:t>Inventory of Learning Styles (ILSs)</w:t>
      </w:r>
    </w:p>
    <w:p w14:paraId="679650BC" w14:textId="77777777" w:rsidR="00336A42" w:rsidRPr="00336A42" w:rsidRDefault="00336A42" w:rsidP="00336A42">
      <w:pPr>
        <w:widowControl w:val="0"/>
        <w:spacing w:line="360" w:lineRule="auto"/>
        <w:rPr>
          <w:color w:val="000000"/>
        </w:rPr>
      </w:pPr>
    </w:p>
    <w:p w14:paraId="5BB2F83F" w14:textId="77777777" w:rsidR="00336A42" w:rsidRDefault="00336A42" w:rsidP="00336A42">
      <w:pPr>
        <w:widowControl w:val="0"/>
        <w:spacing w:line="360" w:lineRule="auto"/>
        <w:rPr>
          <w:color w:val="000000"/>
        </w:rPr>
      </w:pPr>
      <w:proofErr w:type="spellStart"/>
      <w:r w:rsidRPr="00336A42">
        <w:rPr>
          <w:color w:val="000000"/>
        </w:rPr>
        <w:t>Vermunt</w:t>
      </w:r>
      <w:proofErr w:type="spellEnd"/>
      <w:r w:rsidRPr="00336A42">
        <w:rPr>
          <w:color w:val="000000"/>
        </w:rPr>
        <w:t xml:space="preserve"> (1995) defined Inventory of Learning Styles (ILSs) as "processing strategies involving awareness of the goals and objectives of learning activities applied to determine what is learned, regulatory strategies for monitoring learning, mental learning models". ILSs were developed by </w:t>
      </w:r>
      <w:proofErr w:type="spellStart"/>
      <w:r w:rsidRPr="00336A42">
        <w:rPr>
          <w:color w:val="000000"/>
        </w:rPr>
        <w:t>Vermunt</w:t>
      </w:r>
      <w:proofErr w:type="spellEnd"/>
      <w:r w:rsidRPr="00336A42">
        <w:rPr>
          <w:color w:val="000000"/>
        </w:rPr>
        <w:t xml:space="preserve"> as diagnostic tool to investigate learning processes of students in higher education (</w:t>
      </w:r>
      <w:proofErr w:type="spellStart"/>
      <w:r w:rsidRPr="00336A42">
        <w:rPr>
          <w:color w:val="000000"/>
        </w:rPr>
        <w:t>Busato</w:t>
      </w:r>
      <w:proofErr w:type="spellEnd"/>
      <w:r w:rsidRPr="00336A42">
        <w:rPr>
          <w:color w:val="000000"/>
        </w:rPr>
        <w:t xml:space="preserve">, Prins, </w:t>
      </w:r>
      <w:proofErr w:type="spellStart"/>
      <w:r w:rsidRPr="00336A42">
        <w:rPr>
          <w:color w:val="000000"/>
        </w:rPr>
        <w:t>Elshout</w:t>
      </w:r>
      <w:proofErr w:type="spellEnd"/>
      <w:r w:rsidRPr="00336A42">
        <w:rPr>
          <w:color w:val="000000"/>
        </w:rPr>
        <w:t xml:space="preserve"> and </w:t>
      </w:r>
      <w:proofErr w:type="spellStart"/>
      <w:r w:rsidRPr="00336A42">
        <w:rPr>
          <w:color w:val="000000"/>
        </w:rPr>
        <w:t>Hamaker</w:t>
      </w:r>
      <w:proofErr w:type="spellEnd"/>
      <w:r w:rsidRPr="00336A42">
        <w:rPr>
          <w:color w:val="000000"/>
        </w:rPr>
        <w:t>, 1998, 1999). The ILSs have been employed in several academic investigations at universities. Educational psychology and constructivist philosophy are the foundations of the inventory. (Boyle, Duffy and Dunleavy, 200). The inventory's goal is to find out how higher education students view their own learning and the learning processes that they engage in (</w:t>
      </w:r>
      <w:proofErr w:type="spellStart"/>
      <w:r w:rsidRPr="00336A42">
        <w:rPr>
          <w:color w:val="000000"/>
        </w:rPr>
        <w:t>Vermunt</w:t>
      </w:r>
      <w:proofErr w:type="spellEnd"/>
      <w:r w:rsidRPr="00336A42">
        <w:rPr>
          <w:color w:val="000000"/>
        </w:rPr>
        <w:t xml:space="preserve">, 2005). </w:t>
      </w:r>
    </w:p>
    <w:p w14:paraId="4A8046A2" w14:textId="77777777" w:rsidR="00336A42" w:rsidRPr="00336A42" w:rsidRDefault="00336A42" w:rsidP="00336A42">
      <w:pPr>
        <w:widowControl w:val="0"/>
        <w:spacing w:line="360" w:lineRule="auto"/>
        <w:rPr>
          <w:color w:val="000000"/>
        </w:rPr>
      </w:pPr>
    </w:p>
    <w:p w14:paraId="7BEA71B5" w14:textId="07DB41A0" w:rsidR="00336A42" w:rsidRPr="00336A42" w:rsidRDefault="00336A42" w:rsidP="00336A42">
      <w:pPr>
        <w:widowControl w:val="0"/>
        <w:spacing w:line="360" w:lineRule="auto"/>
        <w:rPr>
          <w:i/>
        </w:rPr>
      </w:pPr>
      <w:r w:rsidRPr="00336A42">
        <w:rPr>
          <w:i/>
        </w:rPr>
        <w:t>Purpose</w:t>
      </w:r>
    </w:p>
    <w:p w14:paraId="73057F14" w14:textId="77777777" w:rsidR="00336A42" w:rsidRDefault="00336A42" w:rsidP="00336A42">
      <w:pPr>
        <w:widowControl w:val="0"/>
        <w:spacing w:line="360" w:lineRule="auto"/>
        <w:rPr>
          <w:color w:val="000000"/>
        </w:rPr>
      </w:pPr>
    </w:p>
    <w:p w14:paraId="4725A6AC" w14:textId="77777777" w:rsidR="00336A42" w:rsidRDefault="00336A42" w:rsidP="00336A42">
      <w:pPr>
        <w:widowControl w:val="0"/>
        <w:spacing w:line="360" w:lineRule="auto"/>
        <w:rPr>
          <w:color w:val="000000"/>
        </w:rPr>
      </w:pPr>
      <w:r w:rsidRPr="00336A42">
        <w:rPr>
          <w:color w:val="000000"/>
        </w:rPr>
        <w:t xml:space="preserve">It is understood from the literature that different scientists at different times of the Visual Imagination (VI) have been working in areas such as the problem-solving skills related to visual imagination, the goal of becoming an academician, psychology and neuroscience. In the light of these and similar studies, the effect of aphantasia on learning styles and academic success has been found worthy of investigation. According to the results of the literature review, no research was found on the learning styles and academic achievements of people with </w:t>
      </w:r>
      <w:proofErr w:type="spellStart"/>
      <w:r w:rsidRPr="00336A42">
        <w:rPr>
          <w:color w:val="000000"/>
        </w:rPr>
        <w:t>opitasis</w:t>
      </w:r>
      <w:proofErr w:type="spellEnd"/>
      <w:r w:rsidRPr="00336A42">
        <w:rPr>
          <w:color w:val="000000"/>
        </w:rPr>
        <w:t xml:space="preserve">. In addition, literature shows that the </w:t>
      </w:r>
      <w:proofErr w:type="spellStart"/>
      <w:r w:rsidRPr="00336A42">
        <w:rPr>
          <w:color w:val="000000"/>
        </w:rPr>
        <w:t>Vermunt</w:t>
      </w:r>
      <w:proofErr w:type="spellEnd"/>
      <w:r w:rsidRPr="00336A42">
        <w:rPr>
          <w:color w:val="000000"/>
        </w:rPr>
        <w:t xml:space="preserve"> Inventory of Learning Styles (VILSs) have been utilized by investigators in many countries (</w:t>
      </w:r>
      <w:proofErr w:type="spellStart"/>
      <w:r w:rsidRPr="00336A42">
        <w:rPr>
          <w:color w:val="000000"/>
        </w:rPr>
        <w:t>Vermunt</w:t>
      </w:r>
      <w:proofErr w:type="spellEnd"/>
      <w:r w:rsidRPr="00336A42">
        <w:rPr>
          <w:color w:val="000000"/>
        </w:rPr>
        <w:t xml:space="preserve"> and Vermetten, 2004). The goal of this investigation is to study association among the LSs and academic achievements of participants who are and are not aphantasic. </w:t>
      </w:r>
    </w:p>
    <w:p w14:paraId="356C1E6C" w14:textId="77777777" w:rsidR="00336A42" w:rsidRDefault="00336A42" w:rsidP="00336A42">
      <w:pPr>
        <w:widowControl w:val="0"/>
        <w:spacing w:line="360" w:lineRule="auto"/>
        <w:rPr>
          <w:color w:val="000000"/>
        </w:rPr>
      </w:pPr>
    </w:p>
    <w:p w14:paraId="6C193160" w14:textId="0A77EA81" w:rsidR="00336A42" w:rsidRPr="00336A42" w:rsidRDefault="00336A42" w:rsidP="00336A42">
      <w:pPr>
        <w:widowControl w:val="0"/>
        <w:spacing w:line="360" w:lineRule="auto"/>
        <w:rPr>
          <w:color w:val="000000"/>
        </w:rPr>
      </w:pPr>
      <w:r w:rsidRPr="00336A42">
        <w:rPr>
          <w:color w:val="000000"/>
        </w:rPr>
        <w:t xml:space="preserve">According to this goal, the study's sub-objectives are as </w:t>
      </w:r>
      <w:proofErr w:type="gramStart"/>
      <w:r w:rsidRPr="00336A42">
        <w:rPr>
          <w:color w:val="000000"/>
        </w:rPr>
        <w:t>follows;</w:t>
      </w:r>
      <w:proofErr w:type="gramEnd"/>
    </w:p>
    <w:p w14:paraId="1D881D0C" w14:textId="77777777" w:rsidR="00336A42" w:rsidRPr="00336A42" w:rsidRDefault="00336A42" w:rsidP="00336A42">
      <w:pPr>
        <w:widowControl w:val="0"/>
        <w:spacing w:line="360" w:lineRule="auto"/>
        <w:rPr>
          <w:color w:val="000000"/>
        </w:rPr>
      </w:pPr>
      <w:r w:rsidRPr="00336A42">
        <w:rPr>
          <w:color w:val="000000"/>
        </w:rPr>
        <w:t>1.</w:t>
      </w:r>
      <w:r w:rsidRPr="00336A42">
        <w:rPr>
          <w:color w:val="000000"/>
        </w:rPr>
        <w:tab/>
        <w:t xml:space="preserve">Is there important variance between LSs of people who are and are not aphantasic? </w:t>
      </w:r>
    </w:p>
    <w:p w14:paraId="09CF21DD" w14:textId="77777777" w:rsidR="00336A42" w:rsidRPr="00336A42" w:rsidRDefault="00336A42" w:rsidP="00336A42">
      <w:pPr>
        <w:widowControl w:val="0"/>
        <w:spacing w:line="360" w:lineRule="auto"/>
        <w:rPr>
          <w:color w:val="000000"/>
        </w:rPr>
      </w:pPr>
      <w:r w:rsidRPr="00336A42">
        <w:rPr>
          <w:color w:val="000000"/>
        </w:rPr>
        <w:t>2.</w:t>
      </w:r>
      <w:r w:rsidRPr="00336A42">
        <w:rPr>
          <w:color w:val="000000"/>
        </w:rPr>
        <w:tab/>
        <w:t xml:space="preserve">Is there a significant difference between the academic achievements of people who are and are not aphantasic? </w:t>
      </w:r>
    </w:p>
    <w:p w14:paraId="6A52E038" w14:textId="77777777" w:rsidR="00336A42" w:rsidRPr="00336A42" w:rsidRDefault="00336A42" w:rsidP="00336A42">
      <w:pPr>
        <w:widowControl w:val="0"/>
        <w:spacing w:line="360" w:lineRule="auto"/>
        <w:rPr>
          <w:color w:val="000000"/>
        </w:rPr>
      </w:pPr>
      <w:r w:rsidRPr="00336A42">
        <w:rPr>
          <w:color w:val="000000"/>
        </w:rPr>
        <w:t>3.</w:t>
      </w:r>
      <w:r w:rsidRPr="00336A42">
        <w:rPr>
          <w:color w:val="000000"/>
        </w:rPr>
        <w:tab/>
        <w:t xml:space="preserve">Does perceived success depend on the viability variable of the visual image? </w:t>
      </w:r>
    </w:p>
    <w:p w14:paraId="21B13C86" w14:textId="0EE17A71" w:rsidR="0061751E" w:rsidRPr="00336A42" w:rsidRDefault="00336A42" w:rsidP="00D6757F">
      <w:pPr>
        <w:widowControl w:val="0"/>
        <w:spacing w:line="360" w:lineRule="auto"/>
      </w:pPr>
      <w:r w:rsidRPr="00336A42">
        <w:rPr>
          <w:color w:val="000000"/>
        </w:rPr>
        <w:t>4.</w:t>
      </w:r>
      <w:r w:rsidRPr="00336A42">
        <w:rPr>
          <w:color w:val="000000"/>
        </w:rPr>
        <w:tab/>
        <w:t xml:space="preserve">Is there significant connection among Visual Imagination Vitality (VIV) and LSs? </w:t>
      </w:r>
      <w:r w:rsidR="0061751E" w:rsidRPr="006E5717">
        <w:t xml:space="preserve">preferred formats. </w:t>
      </w:r>
      <w:r w:rsidR="0061751E" w:rsidRPr="006E5717">
        <w:rPr>
          <w:b/>
          <w:sz w:val="24"/>
        </w:rPr>
        <w:lastRenderedPageBreak/>
        <w:t>Method</w:t>
      </w:r>
    </w:p>
    <w:p w14:paraId="276BB593" w14:textId="77777777" w:rsidR="00176378" w:rsidRDefault="00176378" w:rsidP="00D6757F">
      <w:pPr>
        <w:widowControl w:val="0"/>
        <w:spacing w:line="360" w:lineRule="auto"/>
        <w:rPr>
          <w:color w:val="000000"/>
        </w:rPr>
      </w:pPr>
    </w:p>
    <w:p w14:paraId="009A17FC" w14:textId="6EA6B945" w:rsidR="0061751E" w:rsidRDefault="00336A42" w:rsidP="00D6757F">
      <w:pPr>
        <w:widowControl w:val="0"/>
        <w:spacing w:line="360" w:lineRule="auto"/>
        <w:rPr>
          <w:szCs w:val="20"/>
          <w:lang w:val="en"/>
        </w:rPr>
      </w:pPr>
      <w:r w:rsidRPr="00EC2BCC">
        <w:rPr>
          <w:szCs w:val="20"/>
          <w:lang w:val="en"/>
        </w:rPr>
        <w:t>In this study, the screening model was used. It is a methodology defining, illustrating and explaining past and current states, groups, objects, and characteristics. In screening model, situations, person, and objects, which are the subject of investigation, are all attempted to be characterized in their unique conditions (</w:t>
      </w:r>
      <w:proofErr w:type="spellStart"/>
      <w:r w:rsidRPr="00EC2BCC">
        <w:rPr>
          <w:szCs w:val="20"/>
          <w:lang w:val="en"/>
        </w:rPr>
        <w:t>Büyüköztürk</w:t>
      </w:r>
      <w:proofErr w:type="spellEnd"/>
      <w:r w:rsidRPr="00EC2BCC">
        <w:rPr>
          <w:szCs w:val="20"/>
          <w:lang w:val="en"/>
        </w:rPr>
        <w:t xml:space="preserve"> et al., 2014). Two different scales were applied to participants to investigate whether </w:t>
      </w:r>
      <w:r w:rsidRPr="00EC2BCC">
        <w:rPr>
          <w:szCs w:val="20"/>
        </w:rPr>
        <w:t>aphantasic</w:t>
      </w:r>
      <w:r w:rsidRPr="00EC2BCC">
        <w:rPr>
          <w:szCs w:val="20"/>
          <w:lang w:val="en"/>
        </w:rPr>
        <w:t xml:space="preserve"> had an impact on the LSs and academic success. First, “Vividity of Visual Imagination Scale (VVIQ)” was applied to the participants </w:t>
      </w:r>
      <w:proofErr w:type="gramStart"/>
      <w:r w:rsidRPr="00EC2BCC">
        <w:rPr>
          <w:szCs w:val="20"/>
          <w:lang w:val="en"/>
        </w:rPr>
        <w:t>in order to</w:t>
      </w:r>
      <w:proofErr w:type="gramEnd"/>
      <w:r w:rsidRPr="00EC2BCC">
        <w:rPr>
          <w:szCs w:val="20"/>
          <w:lang w:val="en"/>
        </w:rPr>
        <w:t xml:space="preserve"> determine whether they were </w:t>
      </w:r>
      <w:r w:rsidRPr="00EC2BCC">
        <w:rPr>
          <w:szCs w:val="20"/>
        </w:rPr>
        <w:t>aphantasic</w:t>
      </w:r>
      <w:r w:rsidRPr="00EC2BCC">
        <w:rPr>
          <w:szCs w:val="20"/>
          <w:lang w:val="en"/>
        </w:rPr>
        <w:t xml:space="preserve"> or not. The fact that the participants scored 16 on the scale shows that they are completely </w:t>
      </w:r>
      <w:proofErr w:type="spellStart"/>
      <w:r w:rsidRPr="00EC2BCC">
        <w:rPr>
          <w:szCs w:val="20"/>
          <w:lang w:val="en"/>
        </w:rPr>
        <w:t>aphanatic</w:t>
      </w:r>
      <w:proofErr w:type="spellEnd"/>
      <w:r w:rsidRPr="00EC2BCC">
        <w:rPr>
          <w:szCs w:val="20"/>
          <w:lang w:val="en"/>
        </w:rPr>
        <w:t xml:space="preserve"> (Zeman, 2015). It was studied whether the LSs of </w:t>
      </w:r>
      <w:r w:rsidRPr="00EC2BCC">
        <w:rPr>
          <w:szCs w:val="20"/>
        </w:rPr>
        <w:t>aphantasic</w:t>
      </w:r>
      <w:r w:rsidRPr="00EC2BCC">
        <w:rPr>
          <w:szCs w:val="20"/>
          <w:lang w:val="en"/>
        </w:rPr>
        <w:t xml:space="preserve"> and non-</w:t>
      </w:r>
      <w:r w:rsidRPr="00EC2BCC">
        <w:rPr>
          <w:szCs w:val="20"/>
        </w:rPr>
        <w:t>aphantasic</w:t>
      </w:r>
      <w:r w:rsidRPr="00EC2BCC">
        <w:rPr>
          <w:szCs w:val="20"/>
          <w:lang w:val="en"/>
        </w:rPr>
        <w:t xml:space="preserve"> higher education students showed a statistically important change according to the VILSs</w:t>
      </w:r>
      <w:r>
        <w:rPr>
          <w:szCs w:val="20"/>
          <w:lang w:val="en"/>
        </w:rPr>
        <w:t>.</w:t>
      </w:r>
    </w:p>
    <w:p w14:paraId="67936943" w14:textId="77777777" w:rsidR="00336A42" w:rsidRPr="006E5717" w:rsidRDefault="00336A42" w:rsidP="00D6757F">
      <w:pPr>
        <w:widowControl w:val="0"/>
        <w:spacing w:line="360" w:lineRule="auto"/>
      </w:pPr>
    </w:p>
    <w:p w14:paraId="228D1DAA" w14:textId="602CC81B" w:rsidR="00336A42" w:rsidRPr="00EC2BCC" w:rsidRDefault="00336A42" w:rsidP="00336A42">
      <w:pPr>
        <w:spacing w:after="160" w:line="360" w:lineRule="auto"/>
        <w:rPr>
          <w:rFonts w:eastAsia="Times New Roman" w:cs="Times New Roman"/>
          <w:b/>
          <w:szCs w:val="20"/>
          <w:lang w:eastAsia="tr-TR"/>
        </w:rPr>
      </w:pPr>
      <w:r w:rsidRPr="00EC2BCC">
        <w:rPr>
          <w:rFonts w:cs="Times New Roman"/>
          <w:b/>
          <w:szCs w:val="20"/>
          <w:lang w:val="en" w:eastAsia="tr-TR"/>
        </w:rPr>
        <w:t>Participant</w:t>
      </w:r>
    </w:p>
    <w:p w14:paraId="1AB7D029" w14:textId="77777777" w:rsidR="00336A42" w:rsidRPr="00EC2BCC" w:rsidRDefault="00336A42" w:rsidP="00336A42">
      <w:pPr>
        <w:pStyle w:val="NormalWeb"/>
        <w:spacing w:line="360" w:lineRule="auto"/>
        <w:jc w:val="both"/>
        <w:rPr>
          <w:sz w:val="20"/>
          <w:szCs w:val="20"/>
          <w:lang w:val="en"/>
        </w:rPr>
      </w:pPr>
      <w:r w:rsidRPr="00EC2BCC">
        <w:rPr>
          <w:sz w:val="20"/>
          <w:szCs w:val="20"/>
          <w:lang w:val="en"/>
        </w:rPr>
        <w:t xml:space="preserve">The research was carried out with 260 higher education students/graduates who participated in the survey conducted on social media. 70% of the participants who voluntarily participated in the study were female (n=182) and 30% (n=78) were male. Necessary ethical permissions have been obtained for the collection of data. The scales in the study were first applied to all faculties </w:t>
      </w:r>
      <w:proofErr w:type="gramStart"/>
      <w:r w:rsidRPr="00EC2BCC">
        <w:rPr>
          <w:sz w:val="20"/>
          <w:szCs w:val="20"/>
          <w:lang w:val="en"/>
        </w:rPr>
        <w:t>of  a</w:t>
      </w:r>
      <w:proofErr w:type="gramEnd"/>
      <w:r w:rsidRPr="00EC2BCC">
        <w:rPr>
          <w:sz w:val="20"/>
          <w:szCs w:val="20"/>
          <w:lang w:val="en"/>
        </w:rPr>
        <w:t xml:space="preserve"> university, but since the students switched to online education due to the Covid19 outbreak and there were problems in delivering the scales to the students, the scales were applied to a more limited group of people. Scales were shared on the "Graduate Solidarity Platform" on Facebook and the scales were applied to the participants online. </w:t>
      </w:r>
      <w:proofErr w:type="gramStart"/>
      <w:r w:rsidRPr="00EC2BCC">
        <w:rPr>
          <w:sz w:val="20"/>
          <w:szCs w:val="20"/>
          <w:lang w:val="en"/>
        </w:rPr>
        <w:t>In order for</w:t>
      </w:r>
      <w:proofErr w:type="gramEnd"/>
      <w:r w:rsidRPr="00EC2BCC">
        <w:rPr>
          <w:sz w:val="20"/>
          <w:szCs w:val="20"/>
          <w:lang w:val="en"/>
        </w:rPr>
        <w:t xml:space="preserve"> the scales to be applied smoothly, participants were made aware of the study's objectives and characteristics of scale. The application of the scale was completed in about three months. Participants voluntarily participated in the study. </w:t>
      </w:r>
    </w:p>
    <w:p w14:paraId="18B980BA" w14:textId="5A868C5E" w:rsidR="00336A42" w:rsidRPr="00EC2BCC" w:rsidRDefault="00336A42" w:rsidP="00336A42">
      <w:pPr>
        <w:spacing w:before="100" w:beforeAutospacing="1" w:after="100" w:afterAutospacing="1" w:line="360" w:lineRule="auto"/>
        <w:rPr>
          <w:rFonts w:eastAsia="Times New Roman" w:cs="Times New Roman"/>
          <w:b/>
          <w:bCs/>
          <w:szCs w:val="20"/>
          <w:lang w:eastAsia="tr-TR"/>
        </w:rPr>
      </w:pPr>
      <w:r w:rsidRPr="00EC2BCC">
        <w:rPr>
          <w:rFonts w:cs="Times New Roman"/>
          <w:b/>
          <w:bCs/>
          <w:szCs w:val="20"/>
          <w:lang w:val="en" w:eastAsia="tr-TR"/>
        </w:rPr>
        <w:t>Data collection</w:t>
      </w:r>
    </w:p>
    <w:p w14:paraId="1F8C0C28" w14:textId="77777777" w:rsidR="00336A42" w:rsidRPr="00EC2BCC" w:rsidRDefault="00336A42" w:rsidP="00336A42">
      <w:pPr>
        <w:spacing w:before="100" w:beforeAutospacing="1" w:after="100" w:afterAutospacing="1" w:line="360" w:lineRule="auto"/>
        <w:rPr>
          <w:rFonts w:eastAsia="Times New Roman" w:cs="Times New Roman"/>
          <w:szCs w:val="20"/>
          <w:lang w:eastAsia="tr-TR"/>
        </w:rPr>
      </w:pPr>
      <w:r w:rsidRPr="00EC2BCC">
        <w:rPr>
          <w:rFonts w:cs="Times New Roman"/>
          <w:szCs w:val="20"/>
          <w:lang w:val="en" w:eastAsia="tr-TR"/>
        </w:rPr>
        <w:t>Participants in investigation were questioned to fill out the VVIQ and "</w:t>
      </w:r>
      <w:proofErr w:type="spellStart"/>
      <w:r w:rsidRPr="00EC2BCC">
        <w:rPr>
          <w:rFonts w:cs="Times New Roman"/>
          <w:szCs w:val="20"/>
          <w:lang w:val="en" w:eastAsia="tr-TR"/>
        </w:rPr>
        <w:t>Vermunt's</w:t>
      </w:r>
      <w:proofErr w:type="spellEnd"/>
      <w:r w:rsidRPr="00EC2BCC">
        <w:rPr>
          <w:rFonts w:cs="Times New Roman"/>
          <w:szCs w:val="20"/>
          <w:lang w:val="en" w:eastAsia="tr-TR"/>
        </w:rPr>
        <w:t xml:space="preserve"> Learning Styles Scale", which are short self-notification tools. </w:t>
      </w:r>
    </w:p>
    <w:p w14:paraId="5ABB10EE" w14:textId="2C7CEE05" w:rsidR="00336A42" w:rsidRPr="00336A42" w:rsidRDefault="00336A42" w:rsidP="00336A42">
      <w:pPr>
        <w:spacing w:before="100" w:beforeAutospacing="1" w:after="100" w:afterAutospacing="1" w:line="360" w:lineRule="auto"/>
        <w:rPr>
          <w:rFonts w:eastAsia="Times New Roman" w:cs="Times New Roman"/>
          <w:i/>
          <w:iCs/>
          <w:szCs w:val="20"/>
          <w:lang w:eastAsia="tr-TR"/>
        </w:rPr>
      </w:pPr>
      <w:r w:rsidRPr="00336A42">
        <w:rPr>
          <w:rFonts w:cs="Times New Roman"/>
          <w:i/>
          <w:iCs/>
          <w:szCs w:val="20"/>
          <w:lang w:val="en" w:eastAsia="tr-TR"/>
        </w:rPr>
        <w:t>Scale of Vividity of Visual Imagination (VVIQ)</w:t>
      </w:r>
    </w:p>
    <w:p w14:paraId="55854F5B" w14:textId="77777777" w:rsidR="00336A42" w:rsidRPr="00EC2BCC" w:rsidRDefault="00336A42" w:rsidP="00336A42">
      <w:pPr>
        <w:spacing w:before="100" w:beforeAutospacing="1" w:after="100" w:afterAutospacing="1" w:line="360" w:lineRule="auto"/>
        <w:rPr>
          <w:rFonts w:cs="Times New Roman"/>
          <w:szCs w:val="20"/>
          <w:lang w:val="en" w:eastAsia="tr-TR"/>
        </w:rPr>
      </w:pPr>
      <w:r w:rsidRPr="00EC2BCC">
        <w:rPr>
          <w:rFonts w:cs="Times New Roman"/>
          <w:szCs w:val="20"/>
          <w:lang w:val="en" w:eastAsia="tr-TR"/>
        </w:rPr>
        <w:t>The Scale of the Vitality of the Visual Image, developed by Marx (1973), is a scale in which the participant is invited to think about the image formed in the mind when thinking about certain scenes and situations. This scale consists of 4 main items and a total of 16 items. The vitality of the image is rated on a 5-point scale. 5 points means there is no image at all, while 1 point means there is no image at all, while 5 points means perfect as the real vision. A participant who gave 1 point to all questions on the scale scored 16 points and was categorized as apathetic. It is frequently used to assess individual variations in the vividness of visual imagery.</w:t>
      </w:r>
    </w:p>
    <w:p w14:paraId="7642282D" w14:textId="0AD17CC1" w:rsidR="00336A42" w:rsidRPr="00336A42" w:rsidRDefault="00336A42" w:rsidP="00336A42">
      <w:pPr>
        <w:spacing w:before="100" w:beforeAutospacing="1" w:after="100" w:afterAutospacing="1" w:line="360" w:lineRule="auto"/>
        <w:rPr>
          <w:rFonts w:eastAsia="Times New Roman" w:cs="Times New Roman"/>
          <w:i/>
          <w:iCs/>
          <w:szCs w:val="20"/>
          <w:lang w:eastAsia="tr-TR"/>
        </w:rPr>
      </w:pPr>
      <w:r w:rsidRPr="00336A42">
        <w:rPr>
          <w:rFonts w:cs="Times New Roman"/>
          <w:i/>
          <w:iCs/>
          <w:szCs w:val="20"/>
          <w:lang w:val="en" w:eastAsia="tr-TR"/>
        </w:rPr>
        <w:t>Vermunt's Inventory of Learning Styles (VILSs)</w:t>
      </w:r>
    </w:p>
    <w:p w14:paraId="630C498C" w14:textId="77777777" w:rsidR="00336A42" w:rsidRPr="001F6B6A" w:rsidRDefault="00336A42" w:rsidP="00336A42">
      <w:pPr>
        <w:spacing w:before="100" w:beforeAutospacing="1" w:after="100" w:afterAutospacing="1" w:line="360" w:lineRule="auto"/>
        <w:rPr>
          <w:rFonts w:cs="Times New Roman"/>
          <w:szCs w:val="20"/>
          <w:lang w:val="en" w:eastAsia="tr-TR"/>
        </w:rPr>
      </w:pPr>
      <w:r w:rsidRPr="00EC2BCC">
        <w:rPr>
          <w:rFonts w:cs="Times New Roman"/>
          <w:szCs w:val="20"/>
          <w:lang w:val="en" w:eastAsia="tr-TR"/>
        </w:rPr>
        <w:t xml:space="preserve"> Another data collection tool utilized in the research is the learning styles inventory produced by </w:t>
      </w:r>
      <w:proofErr w:type="spellStart"/>
      <w:r w:rsidRPr="00EC2BCC">
        <w:rPr>
          <w:rFonts w:cs="Times New Roman"/>
          <w:szCs w:val="20"/>
          <w:lang w:val="en" w:eastAsia="tr-TR"/>
        </w:rPr>
        <w:t>Vermunt</w:t>
      </w:r>
      <w:proofErr w:type="spellEnd"/>
      <w:r w:rsidRPr="00EC2BCC">
        <w:rPr>
          <w:rFonts w:cs="Times New Roman"/>
          <w:szCs w:val="20"/>
          <w:lang w:val="en" w:eastAsia="tr-TR"/>
        </w:rPr>
        <w:t xml:space="preserve"> (1998). The VILSs aim to clarify how students perceive their own learning. In VILSs, questions are in the five-</w:t>
      </w:r>
      <w:r w:rsidRPr="00EC2BCC">
        <w:rPr>
          <w:rFonts w:cs="Times New Roman"/>
          <w:szCs w:val="20"/>
          <w:lang w:val="en" w:eastAsia="tr-TR"/>
        </w:rPr>
        <w:lastRenderedPageBreak/>
        <w:t xml:space="preserve">way </w:t>
      </w:r>
      <w:proofErr w:type="spellStart"/>
      <w:r w:rsidRPr="00EC2BCC">
        <w:rPr>
          <w:rFonts w:cs="Times New Roman"/>
          <w:szCs w:val="20"/>
          <w:lang w:val="en" w:eastAsia="tr-TR"/>
        </w:rPr>
        <w:t>likert</w:t>
      </w:r>
      <w:proofErr w:type="spellEnd"/>
      <w:r w:rsidRPr="00EC2BCC">
        <w:rPr>
          <w:rFonts w:cs="Times New Roman"/>
          <w:szCs w:val="20"/>
          <w:lang w:val="en" w:eastAsia="tr-TR"/>
        </w:rPr>
        <w:t xml:space="preserve"> style and consist of 100 items. The Learning Styles Inventory consists of two sections and subdivisions.</w:t>
      </w:r>
    </w:p>
    <w:p w14:paraId="696E5BCB" w14:textId="674B96E9" w:rsidR="00336A42" w:rsidRPr="00EC2BCC" w:rsidRDefault="00336A42" w:rsidP="00336A42">
      <w:pPr>
        <w:pStyle w:val="NormalWeb"/>
        <w:spacing w:line="360" w:lineRule="auto"/>
        <w:rPr>
          <w:sz w:val="20"/>
          <w:szCs w:val="20"/>
        </w:rPr>
      </w:pPr>
      <w:r w:rsidRPr="00EC2BCC">
        <w:rPr>
          <w:b/>
          <w:bCs/>
          <w:sz w:val="20"/>
          <w:szCs w:val="20"/>
          <w:lang w:val="en"/>
        </w:rPr>
        <w:t xml:space="preserve">Data </w:t>
      </w:r>
      <w:r w:rsidR="000E13E2">
        <w:rPr>
          <w:b/>
          <w:bCs/>
          <w:sz w:val="20"/>
          <w:szCs w:val="20"/>
          <w:lang w:val="en"/>
        </w:rPr>
        <w:t>E</w:t>
      </w:r>
      <w:r w:rsidRPr="00EC2BCC">
        <w:rPr>
          <w:b/>
          <w:bCs/>
          <w:sz w:val="20"/>
          <w:szCs w:val="20"/>
          <w:lang w:val="en"/>
        </w:rPr>
        <w:t>valuation</w:t>
      </w:r>
    </w:p>
    <w:p w14:paraId="49C47614" w14:textId="77777777" w:rsidR="00336A42" w:rsidRPr="00EC2BCC" w:rsidRDefault="00336A42" w:rsidP="00336A42">
      <w:pPr>
        <w:spacing w:before="100" w:beforeAutospacing="1" w:after="100" w:afterAutospacing="1" w:line="360" w:lineRule="auto"/>
        <w:rPr>
          <w:rFonts w:eastAsia="Times New Roman" w:cs="Times New Roman"/>
          <w:szCs w:val="20"/>
          <w:lang w:eastAsia="tr-TR"/>
        </w:rPr>
      </w:pPr>
      <w:r w:rsidRPr="00EC2BCC">
        <w:rPr>
          <w:rFonts w:cs="Times New Roman"/>
          <w:szCs w:val="20"/>
          <w:lang w:val="en" w:eastAsia="tr-TR"/>
        </w:rPr>
        <w:t xml:space="preserve">The statistical package software SPSS 20.0 was used to examine the data. Normality testing was first done to clarify whether data displayed a common distribution. The distinct samples t-test to clarify effect of visual image's viability variable on learning styles after the data are seen to show standard distribution, independent samples t-test to clarify effect of VI viability variable on the undergraduate achievement grade, Chi-Square Test to reveal whether perceived success is dependent on the viability variable of visual imagery, viability of visual imagery, undergraduate achievement grade  and in order to ascertain the connections among different LSs, Pearson correlation analysis was used.. </w:t>
      </w:r>
    </w:p>
    <w:p w14:paraId="10F2B65C" w14:textId="77777777" w:rsidR="00336A42" w:rsidRPr="00EC2BCC" w:rsidRDefault="00336A42" w:rsidP="00336A42">
      <w:pPr>
        <w:pStyle w:val="NormalWeb"/>
        <w:spacing w:after="120" w:afterAutospacing="0" w:line="360" w:lineRule="auto"/>
        <w:jc w:val="both"/>
        <w:rPr>
          <w:sz w:val="20"/>
          <w:szCs w:val="20"/>
        </w:rPr>
      </w:pPr>
      <w:r w:rsidRPr="000E13E2">
        <w:rPr>
          <w:bCs/>
          <w:sz w:val="20"/>
          <w:szCs w:val="20"/>
          <w:lang w:val="en"/>
        </w:rPr>
        <w:t>Table 1.</w:t>
      </w:r>
      <w:r w:rsidRPr="00EC2BCC">
        <w:rPr>
          <w:sz w:val="20"/>
          <w:szCs w:val="20"/>
          <w:lang w:val="en"/>
        </w:rPr>
        <w:t xml:space="preserve"> Cronbach α coefficients of scale and factors belonging to the LSs scale.</w:t>
      </w:r>
    </w:p>
    <w:tbl>
      <w:tblPr>
        <w:tblStyle w:val="DzTablo2"/>
        <w:tblW w:w="5000" w:type="pct"/>
        <w:tblLook w:val="04A0" w:firstRow="1" w:lastRow="0" w:firstColumn="1" w:lastColumn="0" w:noHBand="0" w:noVBand="1"/>
      </w:tblPr>
      <w:tblGrid>
        <w:gridCol w:w="3609"/>
        <w:gridCol w:w="3177"/>
        <w:gridCol w:w="81"/>
        <w:gridCol w:w="2246"/>
        <w:gridCol w:w="128"/>
      </w:tblGrid>
      <w:tr w:rsidR="000E13E2" w:rsidRPr="00EC2BCC" w14:paraId="22AA827F" w14:textId="77777777" w:rsidTr="004E7C99">
        <w:trPr>
          <w:gridAfter w:val="1"/>
          <w:cnfStyle w:val="100000000000" w:firstRow="1" w:lastRow="0" w:firstColumn="0" w:lastColumn="0" w:oddVBand="0" w:evenVBand="0" w:oddHBand="0" w:evenHBand="0" w:firstRowFirstColumn="0" w:firstRowLastColumn="0" w:lastRowFirstColumn="0" w:lastRowLastColumn="0"/>
          <w:wAfter w:w="69" w:type="pct"/>
          <w:trHeight w:val="248"/>
        </w:trPr>
        <w:tc>
          <w:tcPr>
            <w:cnfStyle w:val="001000000000" w:firstRow="0" w:lastRow="0" w:firstColumn="1" w:lastColumn="0" w:oddVBand="0" w:evenVBand="0" w:oddHBand="0" w:evenHBand="0" w:firstRowFirstColumn="0" w:firstRowLastColumn="0" w:lastRowFirstColumn="0" w:lastRowLastColumn="0"/>
            <w:tcW w:w="4931" w:type="pct"/>
            <w:gridSpan w:val="4"/>
            <w:tcBorders>
              <w:top w:val="single" w:sz="4" w:space="0" w:color="7F7F7F" w:themeColor="text1" w:themeTint="80"/>
              <w:bottom w:val="single" w:sz="4" w:space="0" w:color="auto"/>
            </w:tcBorders>
          </w:tcPr>
          <w:p w14:paraId="6B7C8295" w14:textId="77777777" w:rsidR="000E13E2" w:rsidRPr="00EC2BCC" w:rsidRDefault="000E13E2" w:rsidP="004E7C99">
            <w:pPr>
              <w:spacing w:line="360" w:lineRule="auto"/>
              <w:jc w:val="center"/>
              <w:rPr>
                <w:rFonts w:cs="Times New Roman"/>
                <w:color w:val="000000"/>
                <w:szCs w:val="20"/>
                <w:lang w:eastAsia="en-GB"/>
              </w:rPr>
            </w:pPr>
            <w:proofErr w:type="spellStart"/>
            <w:r w:rsidRPr="00EC2BCC">
              <w:rPr>
                <w:rFonts w:cs="Times New Roman"/>
                <w:szCs w:val="20"/>
                <w:lang w:val="en" w:eastAsia="en-GB"/>
              </w:rPr>
              <w:t>Vermunt</w:t>
            </w:r>
            <w:proofErr w:type="spellEnd"/>
            <w:r w:rsidRPr="00EC2BCC">
              <w:rPr>
                <w:rFonts w:cs="Times New Roman"/>
                <w:szCs w:val="20"/>
                <w:lang w:val="en" w:eastAsia="en-GB"/>
              </w:rPr>
              <w:t xml:space="preserve"> Learning Styles Scale</w:t>
            </w:r>
          </w:p>
        </w:tc>
      </w:tr>
      <w:tr w:rsidR="000E13E2" w:rsidRPr="00EC2BCC" w14:paraId="73F0551D" w14:textId="77777777" w:rsidTr="004E7C99">
        <w:trPr>
          <w:gridAfter w:val="1"/>
          <w:cnfStyle w:val="000000100000" w:firstRow="0" w:lastRow="0" w:firstColumn="0" w:lastColumn="0" w:oddVBand="0" w:evenVBand="0" w:oddHBand="1" w:evenHBand="0" w:firstRowFirstColumn="0" w:firstRowLastColumn="0" w:lastRowFirstColumn="0" w:lastRowLastColumn="0"/>
          <w:wAfter w:w="69" w:type="pct"/>
          <w:trHeight w:val="248"/>
        </w:trPr>
        <w:tc>
          <w:tcPr>
            <w:cnfStyle w:val="001000000000" w:firstRow="0" w:lastRow="0" w:firstColumn="1" w:lastColumn="0" w:oddVBand="0" w:evenVBand="0" w:oddHBand="0" w:evenHBand="0" w:firstRowFirstColumn="0" w:firstRowLastColumn="0" w:lastRowFirstColumn="0" w:lastRowLastColumn="0"/>
            <w:tcW w:w="1953" w:type="pct"/>
            <w:tcBorders>
              <w:top w:val="single" w:sz="4" w:space="0" w:color="auto"/>
              <w:bottom w:val="none" w:sz="0" w:space="0" w:color="auto"/>
            </w:tcBorders>
            <w:hideMark/>
          </w:tcPr>
          <w:p w14:paraId="025CF910" w14:textId="77777777" w:rsidR="000E13E2" w:rsidRPr="00EC2BCC" w:rsidRDefault="000E13E2" w:rsidP="004E7C99">
            <w:pPr>
              <w:spacing w:line="360" w:lineRule="auto"/>
              <w:rPr>
                <w:rFonts w:cs="Times New Roman"/>
                <w:b w:val="0"/>
                <w:bCs w:val="0"/>
                <w:szCs w:val="20"/>
                <w:lang w:val="tr-TR" w:eastAsia="en-GB"/>
              </w:rPr>
            </w:pPr>
            <w:bookmarkStart w:id="2" w:name="_Hlk93399158"/>
          </w:p>
        </w:tc>
        <w:tc>
          <w:tcPr>
            <w:tcW w:w="2978" w:type="pct"/>
            <w:gridSpan w:val="3"/>
            <w:tcBorders>
              <w:top w:val="single" w:sz="4" w:space="0" w:color="auto"/>
              <w:bottom w:val="single" w:sz="4" w:space="0" w:color="auto"/>
            </w:tcBorders>
            <w:hideMark/>
          </w:tcPr>
          <w:p w14:paraId="43CB93C2" w14:textId="7FA38121"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szCs w:val="20"/>
                <w:lang w:eastAsia="en-GB"/>
              </w:rPr>
            </w:pPr>
            <w:r w:rsidRPr="00EC2BCC">
              <w:rPr>
                <w:rFonts w:cs="Times New Roman"/>
                <w:b/>
                <w:color w:val="000000"/>
                <w:szCs w:val="20"/>
                <w:lang w:val="en" w:eastAsia="en-GB"/>
              </w:rPr>
              <w:t>α Value</w:t>
            </w:r>
            <w:r>
              <w:rPr>
                <w:rFonts w:cs="Times New Roman"/>
                <w:b/>
                <w:color w:val="000000"/>
                <w:szCs w:val="20"/>
                <w:lang w:val="en" w:eastAsia="en-GB"/>
              </w:rPr>
              <w:t xml:space="preserve"> </w:t>
            </w:r>
          </w:p>
        </w:tc>
      </w:tr>
      <w:tr w:rsidR="000E13E2" w:rsidRPr="00EC2BCC" w14:paraId="258CB3D3" w14:textId="77777777" w:rsidTr="004E7C99">
        <w:trPr>
          <w:trHeight w:val="248"/>
        </w:trPr>
        <w:tc>
          <w:tcPr>
            <w:cnfStyle w:val="001000000000" w:firstRow="0" w:lastRow="0" w:firstColumn="1" w:lastColumn="0" w:oddVBand="0" w:evenVBand="0" w:oddHBand="0" w:evenHBand="0" w:firstRowFirstColumn="0" w:firstRowLastColumn="0" w:lastRowFirstColumn="0" w:lastRowLastColumn="0"/>
            <w:tcW w:w="1953" w:type="pct"/>
            <w:tcBorders>
              <w:bottom w:val="single" w:sz="4" w:space="0" w:color="auto"/>
            </w:tcBorders>
            <w:hideMark/>
          </w:tcPr>
          <w:p w14:paraId="65FE2FFF" w14:textId="77777777" w:rsidR="000E13E2" w:rsidRPr="00EC2BCC" w:rsidRDefault="000E13E2" w:rsidP="004E7C99">
            <w:pPr>
              <w:spacing w:line="360" w:lineRule="auto"/>
              <w:rPr>
                <w:rFonts w:cs="Times New Roman"/>
                <w:b w:val="0"/>
                <w:bCs w:val="0"/>
                <w:szCs w:val="20"/>
                <w:lang w:val="tr-TR" w:eastAsia="en-GB"/>
              </w:rPr>
            </w:pPr>
          </w:p>
        </w:tc>
        <w:tc>
          <w:tcPr>
            <w:tcW w:w="1719" w:type="pct"/>
            <w:tcBorders>
              <w:top w:val="nil"/>
              <w:bottom w:val="single" w:sz="4" w:space="0" w:color="auto"/>
            </w:tcBorders>
            <w:hideMark/>
          </w:tcPr>
          <w:p w14:paraId="63842A38" w14:textId="77777777" w:rsidR="000E13E2" w:rsidRPr="00EC2BCC" w:rsidRDefault="000E13E2"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b/>
                <w:szCs w:val="20"/>
                <w:lang w:eastAsia="en-GB"/>
              </w:rPr>
            </w:pPr>
            <w:r w:rsidRPr="00EC2BCC">
              <w:rPr>
                <w:rFonts w:cs="Times New Roman"/>
                <w:b/>
                <w:color w:val="000000"/>
                <w:szCs w:val="20"/>
                <w:lang w:val="en" w:eastAsia="en-GB"/>
              </w:rPr>
              <w:t>Factors</w:t>
            </w:r>
          </w:p>
        </w:tc>
        <w:tc>
          <w:tcPr>
            <w:tcW w:w="1328" w:type="pct"/>
            <w:gridSpan w:val="3"/>
            <w:tcBorders>
              <w:top w:val="nil"/>
              <w:bottom w:val="single" w:sz="4" w:space="0" w:color="auto"/>
            </w:tcBorders>
            <w:hideMark/>
          </w:tcPr>
          <w:p w14:paraId="6054855A"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0"/>
                <w:lang w:val="tr-TR" w:eastAsia="en-GB"/>
              </w:rPr>
            </w:pPr>
            <w:r w:rsidRPr="00EC2BCC">
              <w:rPr>
                <w:rFonts w:cs="Times New Roman"/>
                <w:b/>
                <w:color w:val="000000"/>
                <w:szCs w:val="20"/>
                <w:lang w:val="en" w:eastAsia="en-GB"/>
              </w:rPr>
              <w:t>The entire scale</w:t>
            </w:r>
          </w:p>
        </w:tc>
      </w:tr>
      <w:tr w:rsidR="000E13E2" w:rsidRPr="00EC2BCC" w14:paraId="2C3B2D10" w14:textId="77777777" w:rsidTr="004E7C99">
        <w:trPr>
          <w:gridAfter w:val="1"/>
          <w:cnfStyle w:val="000000100000" w:firstRow="0" w:lastRow="0" w:firstColumn="0" w:lastColumn="0" w:oddVBand="0" w:evenVBand="0" w:oddHBand="1" w:evenHBand="0" w:firstRowFirstColumn="0" w:firstRowLastColumn="0" w:lastRowFirstColumn="0" w:lastRowLastColumn="0"/>
          <w:wAfter w:w="69" w:type="pct"/>
          <w:trHeight w:val="238"/>
        </w:trPr>
        <w:tc>
          <w:tcPr>
            <w:cnfStyle w:val="001000000000" w:firstRow="0" w:lastRow="0" w:firstColumn="1" w:lastColumn="0" w:oddVBand="0" w:evenVBand="0" w:oddHBand="0" w:evenHBand="0" w:firstRowFirstColumn="0" w:firstRowLastColumn="0" w:lastRowFirstColumn="0" w:lastRowLastColumn="0"/>
            <w:tcW w:w="1953" w:type="pct"/>
            <w:tcBorders>
              <w:top w:val="single" w:sz="4" w:space="0" w:color="auto"/>
              <w:bottom w:val="nil"/>
            </w:tcBorders>
            <w:hideMark/>
          </w:tcPr>
          <w:p w14:paraId="21DB6F3C" w14:textId="77777777" w:rsidR="000E13E2" w:rsidRPr="00EC2BCC" w:rsidRDefault="000E13E2" w:rsidP="004E7C99">
            <w:pPr>
              <w:spacing w:line="360" w:lineRule="auto"/>
              <w:ind w:firstLine="29"/>
              <w:rPr>
                <w:rFonts w:cs="Times New Roman"/>
                <w:b w:val="0"/>
                <w:bCs w:val="0"/>
                <w:szCs w:val="20"/>
                <w:lang w:val="tr-TR" w:eastAsia="en-GB"/>
              </w:rPr>
            </w:pPr>
            <w:r w:rsidRPr="00EC2BCC">
              <w:rPr>
                <w:rFonts w:cs="Times New Roman"/>
                <w:b w:val="0"/>
                <w:bCs w:val="0"/>
                <w:color w:val="000000"/>
                <w:szCs w:val="20"/>
                <w:lang w:val="en" w:eastAsia="en-GB"/>
              </w:rPr>
              <w:t>Process strategies</w:t>
            </w:r>
          </w:p>
        </w:tc>
        <w:tc>
          <w:tcPr>
            <w:tcW w:w="1763" w:type="pct"/>
            <w:gridSpan w:val="2"/>
            <w:tcBorders>
              <w:top w:val="none" w:sz="0" w:space="0" w:color="auto"/>
              <w:bottom w:val="none" w:sz="0" w:space="0" w:color="auto"/>
            </w:tcBorders>
            <w:hideMark/>
          </w:tcPr>
          <w:p w14:paraId="7A471281" w14:textId="77777777" w:rsidR="000E13E2" w:rsidRPr="00EC2BCC" w:rsidRDefault="000E13E2"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color w:val="000000"/>
                <w:szCs w:val="20"/>
                <w:lang w:val="en" w:eastAsia="en-GB"/>
              </w:rPr>
              <w:t>.891</w:t>
            </w:r>
          </w:p>
        </w:tc>
        <w:tc>
          <w:tcPr>
            <w:tcW w:w="1215" w:type="pct"/>
            <w:vMerge w:val="restart"/>
            <w:tcBorders>
              <w:top w:val="nil"/>
              <w:bottom w:val="single" w:sz="4" w:space="0" w:color="auto"/>
            </w:tcBorders>
            <w:vAlign w:val="center"/>
            <w:hideMark/>
          </w:tcPr>
          <w:p w14:paraId="139DEA8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color w:val="000000"/>
                <w:szCs w:val="20"/>
                <w:lang w:val="en" w:eastAsia="en-GB"/>
              </w:rPr>
              <w:t>.921</w:t>
            </w:r>
          </w:p>
        </w:tc>
      </w:tr>
      <w:tr w:rsidR="000E13E2" w:rsidRPr="00EC2BCC" w14:paraId="2A02D04D" w14:textId="77777777" w:rsidTr="004E7C99">
        <w:trPr>
          <w:gridAfter w:val="1"/>
          <w:wAfter w:w="69" w:type="pct"/>
          <w:trHeight w:val="238"/>
        </w:trPr>
        <w:tc>
          <w:tcPr>
            <w:cnfStyle w:val="001000000000" w:firstRow="0" w:lastRow="0" w:firstColumn="1" w:lastColumn="0" w:oddVBand="0" w:evenVBand="0" w:oddHBand="0" w:evenHBand="0" w:firstRowFirstColumn="0" w:firstRowLastColumn="0" w:lastRowFirstColumn="0" w:lastRowLastColumn="0"/>
            <w:tcW w:w="1953" w:type="pct"/>
            <w:tcBorders>
              <w:top w:val="nil"/>
            </w:tcBorders>
            <w:hideMark/>
          </w:tcPr>
          <w:p w14:paraId="753C877D" w14:textId="77777777" w:rsidR="000E13E2" w:rsidRPr="00EC2BCC" w:rsidRDefault="000E13E2" w:rsidP="004E7C99">
            <w:pPr>
              <w:spacing w:line="360" w:lineRule="auto"/>
              <w:ind w:firstLine="29"/>
              <w:rPr>
                <w:rFonts w:cs="Times New Roman"/>
                <w:b w:val="0"/>
                <w:bCs w:val="0"/>
                <w:szCs w:val="20"/>
                <w:lang w:val="tr-TR" w:eastAsia="en-GB"/>
              </w:rPr>
            </w:pPr>
            <w:r w:rsidRPr="00EC2BCC">
              <w:rPr>
                <w:rFonts w:cs="Times New Roman"/>
                <w:b w:val="0"/>
                <w:bCs w:val="0"/>
                <w:color w:val="000000"/>
                <w:szCs w:val="20"/>
                <w:lang w:val="en" w:eastAsia="en-GB"/>
              </w:rPr>
              <w:t>Editing strategies</w:t>
            </w:r>
          </w:p>
        </w:tc>
        <w:tc>
          <w:tcPr>
            <w:tcW w:w="1763" w:type="pct"/>
            <w:gridSpan w:val="2"/>
            <w:hideMark/>
          </w:tcPr>
          <w:p w14:paraId="2E26CDF5" w14:textId="77777777" w:rsidR="000E13E2" w:rsidRPr="00EC2BCC" w:rsidRDefault="000E13E2"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r w:rsidRPr="00EC2BCC">
              <w:rPr>
                <w:rFonts w:cs="Times New Roman"/>
                <w:color w:val="000000"/>
                <w:szCs w:val="20"/>
                <w:lang w:val="en" w:eastAsia="en-GB"/>
              </w:rPr>
              <w:t>.849</w:t>
            </w:r>
          </w:p>
        </w:tc>
        <w:tc>
          <w:tcPr>
            <w:tcW w:w="1215" w:type="pct"/>
            <w:vMerge/>
            <w:tcBorders>
              <w:top w:val="nil"/>
              <w:bottom w:val="single" w:sz="4" w:space="0" w:color="auto"/>
            </w:tcBorders>
            <w:hideMark/>
          </w:tcPr>
          <w:p w14:paraId="21B7FA1C" w14:textId="77777777" w:rsidR="000E13E2" w:rsidRPr="00EC2BCC" w:rsidRDefault="000E13E2"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p>
        </w:tc>
      </w:tr>
      <w:tr w:rsidR="000E13E2" w:rsidRPr="00EC2BCC" w14:paraId="60E4CF9F" w14:textId="77777777" w:rsidTr="004E7C99">
        <w:trPr>
          <w:gridAfter w:val="1"/>
          <w:cnfStyle w:val="000000100000" w:firstRow="0" w:lastRow="0" w:firstColumn="0" w:lastColumn="0" w:oddVBand="0" w:evenVBand="0" w:oddHBand="1" w:evenHBand="0" w:firstRowFirstColumn="0" w:firstRowLastColumn="0" w:lastRowFirstColumn="0" w:lastRowLastColumn="0"/>
          <w:wAfter w:w="69" w:type="pct"/>
          <w:trHeight w:val="238"/>
        </w:trPr>
        <w:tc>
          <w:tcPr>
            <w:cnfStyle w:val="001000000000" w:firstRow="0" w:lastRow="0" w:firstColumn="1" w:lastColumn="0" w:oddVBand="0" w:evenVBand="0" w:oddHBand="0" w:evenHBand="0" w:firstRowFirstColumn="0" w:firstRowLastColumn="0" w:lastRowFirstColumn="0" w:lastRowLastColumn="0"/>
            <w:tcW w:w="1953" w:type="pct"/>
            <w:tcBorders>
              <w:top w:val="none" w:sz="0" w:space="0" w:color="auto"/>
              <w:bottom w:val="nil"/>
            </w:tcBorders>
          </w:tcPr>
          <w:p w14:paraId="48FDE26E" w14:textId="77777777" w:rsidR="000E13E2" w:rsidRPr="00EC2BCC" w:rsidRDefault="000E13E2" w:rsidP="004E7C99">
            <w:pPr>
              <w:spacing w:line="360" w:lineRule="auto"/>
              <w:ind w:firstLine="29"/>
              <w:rPr>
                <w:rFonts w:cs="Times New Roman"/>
                <w:b w:val="0"/>
                <w:bCs w:val="0"/>
                <w:color w:val="000000"/>
                <w:szCs w:val="20"/>
                <w:lang w:val="tr-TR" w:eastAsia="en-GB"/>
              </w:rPr>
            </w:pPr>
            <w:r w:rsidRPr="00EC2BCC">
              <w:rPr>
                <w:rFonts w:cs="Times New Roman"/>
                <w:b w:val="0"/>
                <w:bCs w:val="0"/>
                <w:color w:val="000000"/>
                <w:szCs w:val="20"/>
                <w:lang w:val="en" w:eastAsia="en-GB"/>
              </w:rPr>
              <w:t>Mental model in learning</w:t>
            </w:r>
          </w:p>
        </w:tc>
        <w:tc>
          <w:tcPr>
            <w:tcW w:w="1763" w:type="pct"/>
            <w:gridSpan w:val="2"/>
            <w:tcBorders>
              <w:top w:val="none" w:sz="0" w:space="0" w:color="auto"/>
              <w:bottom w:val="nil"/>
            </w:tcBorders>
          </w:tcPr>
          <w:p w14:paraId="4EE4623D" w14:textId="77777777" w:rsidR="000E13E2" w:rsidRPr="00EC2BCC" w:rsidRDefault="000E13E2"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.794</w:t>
            </w:r>
          </w:p>
        </w:tc>
        <w:tc>
          <w:tcPr>
            <w:tcW w:w="1215" w:type="pct"/>
            <w:vMerge/>
            <w:tcBorders>
              <w:top w:val="nil"/>
              <w:bottom w:val="single" w:sz="4" w:space="0" w:color="auto"/>
            </w:tcBorders>
          </w:tcPr>
          <w:p w14:paraId="2A99948E" w14:textId="77777777" w:rsidR="000E13E2" w:rsidRPr="00EC2BCC" w:rsidRDefault="000E13E2" w:rsidP="004E7C99">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p>
        </w:tc>
      </w:tr>
      <w:tr w:rsidR="000E13E2" w:rsidRPr="00EC2BCC" w14:paraId="66CDA74E" w14:textId="77777777" w:rsidTr="004E7C99">
        <w:trPr>
          <w:gridAfter w:val="1"/>
          <w:wAfter w:w="69" w:type="pct"/>
          <w:trHeight w:val="238"/>
        </w:trPr>
        <w:tc>
          <w:tcPr>
            <w:cnfStyle w:val="001000000000" w:firstRow="0" w:lastRow="0" w:firstColumn="1" w:lastColumn="0" w:oddVBand="0" w:evenVBand="0" w:oddHBand="0" w:evenHBand="0" w:firstRowFirstColumn="0" w:firstRowLastColumn="0" w:lastRowFirstColumn="0" w:lastRowLastColumn="0"/>
            <w:tcW w:w="1953" w:type="pct"/>
            <w:tcBorders>
              <w:top w:val="nil"/>
              <w:bottom w:val="single" w:sz="4" w:space="0" w:color="auto"/>
            </w:tcBorders>
          </w:tcPr>
          <w:p w14:paraId="44FDDDE7" w14:textId="77777777" w:rsidR="000E13E2" w:rsidRPr="00EC2BCC" w:rsidRDefault="000E13E2" w:rsidP="004E7C99">
            <w:pPr>
              <w:spacing w:line="360" w:lineRule="auto"/>
              <w:ind w:firstLine="29"/>
              <w:rPr>
                <w:rFonts w:cs="Times New Roman"/>
                <w:b w:val="0"/>
                <w:bCs w:val="0"/>
                <w:color w:val="000000"/>
                <w:szCs w:val="20"/>
                <w:lang w:val="tr-TR" w:eastAsia="en-GB"/>
              </w:rPr>
            </w:pPr>
            <w:r w:rsidRPr="00EC2BCC">
              <w:rPr>
                <w:rFonts w:cs="Times New Roman"/>
                <w:b w:val="0"/>
                <w:bCs w:val="0"/>
                <w:color w:val="000000"/>
                <w:szCs w:val="20"/>
                <w:lang w:val="en" w:eastAsia="en-GB"/>
              </w:rPr>
              <w:t>Learning orientations</w:t>
            </w:r>
          </w:p>
        </w:tc>
        <w:tc>
          <w:tcPr>
            <w:tcW w:w="1763" w:type="pct"/>
            <w:gridSpan w:val="2"/>
            <w:tcBorders>
              <w:top w:val="nil"/>
              <w:bottom w:val="single" w:sz="4" w:space="0" w:color="auto"/>
            </w:tcBorders>
          </w:tcPr>
          <w:p w14:paraId="5A36CA46" w14:textId="77777777" w:rsidR="000E13E2" w:rsidRPr="00EC2BCC" w:rsidRDefault="000E13E2"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.805</w:t>
            </w:r>
          </w:p>
        </w:tc>
        <w:tc>
          <w:tcPr>
            <w:tcW w:w="1215" w:type="pct"/>
            <w:vMerge/>
            <w:tcBorders>
              <w:top w:val="nil"/>
              <w:bottom w:val="single" w:sz="4" w:space="0" w:color="auto"/>
            </w:tcBorders>
          </w:tcPr>
          <w:p w14:paraId="02FAB3BA" w14:textId="77777777" w:rsidR="000E13E2" w:rsidRPr="00EC2BCC" w:rsidRDefault="000E13E2"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p>
        </w:tc>
      </w:tr>
      <w:tr w:rsidR="000E13E2" w:rsidRPr="00EC2BCC" w14:paraId="41A0A9F2" w14:textId="77777777" w:rsidTr="004E7C99">
        <w:trPr>
          <w:gridAfter w:val="1"/>
          <w:cnfStyle w:val="000000100000" w:firstRow="0" w:lastRow="0" w:firstColumn="0" w:lastColumn="0" w:oddVBand="0" w:evenVBand="0" w:oddHBand="1" w:evenHBand="0" w:firstRowFirstColumn="0" w:firstRowLastColumn="0" w:lastRowFirstColumn="0" w:lastRowLastColumn="0"/>
          <w:wAfter w:w="69" w:type="pct"/>
          <w:trHeight w:val="238"/>
        </w:trPr>
        <w:tc>
          <w:tcPr>
            <w:cnfStyle w:val="001000000000" w:firstRow="0" w:lastRow="0" w:firstColumn="1" w:lastColumn="0" w:oddVBand="0" w:evenVBand="0" w:oddHBand="0" w:evenHBand="0" w:firstRowFirstColumn="0" w:firstRowLastColumn="0" w:lastRowFirstColumn="0" w:lastRowLastColumn="0"/>
            <w:tcW w:w="4931" w:type="pct"/>
            <w:gridSpan w:val="4"/>
            <w:tcBorders>
              <w:top w:val="nil"/>
              <w:bottom w:val="single" w:sz="4" w:space="0" w:color="auto"/>
            </w:tcBorders>
          </w:tcPr>
          <w:p w14:paraId="7A985924" w14:textId="77777777" w:rsidR="000E13E2" w:rsidRPr="00EC2BCC" w:rsidRDefault="000E13E2" w:rsidP="004E7C99">
            <w:pPr>
              <w:spacing w:line="360" w:lineRule="auto"/>
              <w:jc w:val="center"/>
              <w:rPr>
                <w:rFonts w:cs="Times New Roman"/>
                <w:szCs w:val="20"/>
                <w:lang w:eastAsia="en-GB"/>
              </w:rPr>
            </w:pPr>
            <w:r w:rsidRPr="00EC2BCC">
              <w:rPr>
                <w:rFonts w:cs="Times New Roman"/>
                <w:szCs w:val="20"/>
                <w:lang w:val="en" w:eastAsia="en-GB"/>
              </w:rPr>
              <w:t>VVIQ</w:t>
            </w:r>
          </w:p>
        </w:tc>
      </w:tr>
      <w:tr w:rsidR="000E13E2" w:rsidRPr="00EC2BCC" w14:paraId="6AD4453E" w14:textId="77777777" w:rsidTr="004E7C99">
        <w:trPr>
          <w:gridAfter w:val="1"/>
          <w:wAfter w:w="69" w:type="pct"/>
          <w:trHeight w:val="238"/>
        </w:trPr>
        <w:tc>
          <w:tcPr>
            <w:cnfStyle w:val="001000000000" w:firstRow="0" w:lastRow="0" w:firstColumn="1" w:lastColumn="0" w:oddVBand="0" w:evenVBand="0" w:oddHBand="0" w:evenHBand="0" w:firstRowFirstColumn="0" w:firstRowLastColumn="0" w:lastRowFirstColumn="0" w:lastRowLastColumn="0"/>
            <w:tcW w:w="1953" w:type="pct"/>
            <w:tcBorders>
              <w:top w:val="single" w:sz="4" w:space="0" w:color="auto"/>
            </w:tcBorders>
          </w:tcPr>
          <w:p w14:paraId="4BA48A18" w14:textId="77777777" w:rsidR="000E13E2" w:rsidRPr="00EC2BCC" w:rsidRDefault="000E13E2" w:rsidP="004E7C99">
            <w:pPr>
              <w:spacing w:line="360" w:lineRule="auto"/>
              <w:rPr>
                <w:rFonts w:cs="Times New Roman"/>
                <w:color w:val="000000"/>
                <w:szCs w:val="20"/>
                <w:lang w:eastAsia="en-GB"/>
              </w:rPr>
            </w:pPr>
          </w:p>
        </w:tc>
        <w:tc>
          <w:tcPr>
            <w:tcW w:w="1763" w:type="pct"/>
            <w:gridSpan w:val="2"/>
            <w:tcBorders>
              <w:top w:val="single" w:sz="4" w:space="0" w:color="auto"/>
            </w:tcBorders>
          </w:tcPr>
          <w:p w14:paraId="0252AB1E"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p>
        </w:tc>
        <w:tc>
          <w:tcPr>
            <w:tcW w:w="1215" w:type="pct"/>
            <w:tcBorders>
              <w:top w:val="single" w:sz="4" w:space="0" w:color="auto"/>
              <w:bottom w:val="single" w:sz="4" w:space="0" w:color="auto"/>
            </w:tcBorders>
          </w:tcPr>
          <w:p w14:paraId="387B3CB2"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0"/>
                <w:lang w:eastAsia="en-GB"/>
              </w:rPr>
            </w:pPr>
            <w:r w:rsidRPr="00EC2BCC">
              <w:rPr>
                <w:rFonts w:cs="Times New Roman"/>
                <w:b/>
                <w:color w:val="000000"/>
                <w:szCs w:val="20"/>
                <w:lang w:val="en" w:eastAsia="en-GB"/>
              </w:rPr>
              <w:t>α Value</w:t>
            </w:r>
          </w:p>
        </w:tc>
      </w:tr>
      <w:tr w:rsidR="000E13E2" w:rsidRPr="00EC2BCC" w14:paraId="4CCFB6D2" w14:textId="77777777" w:rsidTr="004E7C99">
        <w:trPr>
          <w:gridAfter w:val="1"/>
          <w:cnfStyle w:val="000000100000" w:firstRow="0" w:lastRow="0" w:firstColumn="0" w:lastColumn="0" w:oddVBand="0" w:evenVBand="0" w:oddHBand="1" w:evenHBand="0" w:firstRowFirstColumn="0" w:firstRowLastColumn="0" w:lastRowFirstColumn="0" w:lastRowLastColumn="0"/>
          <w:wAfter w:w="69" w:type="pct"/>
          <w:trHeight w:val="238"/>
        </w:trPr>
        <w:tc>
          <w:tcPr>
            <w:cnfStyle w:val="001000000000" w:firstRow="0" w:lastRow="0" w:firstColumn="1" w:lastColumn="0" w:oddVBand="0" w:evenVBand="0" w:oddHBand="0" w:evenHBand="0" w:firstRowFirstColumn="0" w:firstRowLastColumn="0" w:lastRowFirstColumn="0" w:lastRowLastColumn="0"/>
            <w:tcW w:w="1953" w:type="pct"/>
            <w:tcBorders>
              <w:top w:val="single" w:sz="4" w:space="0" w:color="auto"/>
              <w:bottom w:val="none" w:sz="0" w:space="0" w:color="auto"/>
            </w:tcBorders>
          </w:tcPr>
          <w:p w14:paraId="6C713E6D" w14:textId="77777777" w:rsidR="000E13E2" w:rsidRPr="00EC2BCC" w:rsidRDefault="000E13E2" w:rsidP="004E7C99">
            <w:pPr>
              <w:spacing w:line="360" w:lineRule="auto"/>
              <w:ind w:firstLine="29"/>
              <w:rPr>
                <w:rFonts w:cs="Times New Roman"/>
                <w:color w:val="000000"/>
                <w:szCs w:val="20"/>
                <w:lang w:eastAsia="en-GB"/>
              </w:rPr>
            </w:pPr>
            <w:r w:rsidRPr="00EC2BCC">
              <w:rPr>
                <w:rFonts w:cs="Times New Roman"/>
                <w:b w:val="0"/>
                <w:bCs w:val="0"/>
                <w:szCs w:val="20"/>
                <w:lang w:val="en" w:eastAsia="en-GB"/>
              </w:rPr>
              <w:t>Vividness of VI</w:t>
            </w:r>
          </w:p>
        </w:tc>
        <w:tc>
          <w:tcPr>
            <w:tcW w:w="1763" w:type="pct"/>
            <w:gridSpan w:val="2"/>
            <w:tcBorders>
              <w:top w:val="single" w:sz="4" w:space="0" w:color="auto"/>
              <w:bottom w:val="none" w:sz="0" w:space="0" w:color="auto"/>
            </w:tcBorders>
            <w:vAlign w:val="center"/>
          </w:tcPr>
          <w:p w14:paraId="4F74D2C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p>
        </w:tc>
        <w:tc>
          <w:tcPr>
            <w:tcW w:w="1215" w:type="pct"/>
            <w:tcBorders>
              <w:top w:val="single" w:sz="4" w:space="0" w:color="auto"/>
              <w:bottom w:val="none" w:sz="0" w:space="0" w:color="auto"/>
            </w:tcBorders>
          </w:tcPr>
          <w:p w14:paraId="4FC828B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eastAsia="en-GB"/>
              </w:rPr>
            </w:pPr>
            <w:r w:rsidRPr="00EC2BCC">
              <w:rPr>
                <w:rFonts w:cs="Times New Roman"/>
                <w:color w:val="000000"/>
                <w:szCs w:val="20"/>
                <w:lang w:val="en" w:eastAsia="en-GB"/>
              </w:rPr>
              <w:t>.978</w:t>
            </w:r>
          </w:p>
        </w:tc>
      </w:tr>
    </w:tbl>
    <w:bookmarkEnd w:id="2"/>
    <w:p w14:paraId="511CE126" w14:textId="3D60EAD5" w:rsidR="000E13E2" w:rsidRPr="00EC2BCC" w:rsidRDefault="000E13E2" w:rsidP="000E13E2">
      <w:pPr>
        <w:spacing w:before="100" w:beforeAutospacing="1" w:after="100" w:afterAutospacing="1" w:line="360" w:lineRule="auto"/>
        <w:rPr>
          <w:rFonts w:eastAsia="Times New Roman" w:cs="Times New Roman"/>
          <w:szCs w:val="20"/>
          <w:lang w:eastAsia="tr-TR"/>
        </w:rPr>
      </w:pPr>
      <w:r w:rsidRPr="00EC2BCC">
        <w:rPr>
          <w:rFonts w:cs="Times New Roman"/>
          <w:szCs w:val="20"/>
          <w:lang w:val="en" w:eastAsia="tr-TR"/>
        </w:rPr>
        <w:t xml:space="preserve">Reliability coefficients of scale and sub-dimensions utilized in investigation were </w:t>
      </w:r>
      <w:r w:rsidRPr="00EC2BCC">
        <w:rPr>
          <w:rFonts w:cs="Times New Roman"/>
          <w:szCs w:val="20"/>
          <w:lang w:val="en"/>
        </w:rPr>
        <w:t xml:space="preserve">determined </w:t>
      </w:r>
      <w:r w:rsidRPr="00EC2BCC">
        <w:rPr>
          <w:rFonts w:cs="Times New Roman"/>
          <w:szCs w:val="20"/>
          <w:lang w:val="en" w:eastAsia="tr-TR"/>
        </w:rPr>
        <w:t>and given in Table 1. It was concluded that α coefficients of scale validity were above .70 and therefore scales were reliable (</w:t>
      </w:r>
      <w:proofErr w:type="spellStart"/>
      <w:r w:rsidRPr="00EC2BCC">
        <w:rPr>
          <w:rFonts w:cs="Times New Roman"/>
          <w:szCs w:val="20"/>
          <w:lang w:val="en" w:eastAsia="tr-TR"/>
        </w:rPr>
        <w:t>Büyüköztürk</w:t>
      </w:r>
      <w:proofErr w:type="spellEnd"/>
      <w:r w:rsidRPr="00EC2BCC">
        <w:rPr>
          <w:rFonts w:cs="Times New Roman"/>
          <w:szCs w:val="20"/>
          <w:lang w:val="en" w:eastAsia="tr-TR"/>
        </w:rPr>
        <w:t xml:space="preserve">, 2006). </w:t>
      </w:r>
    </w:p>
    <w:p w14:paraId="187C7CB6" w14:textId="77777777" w:rsidR="000E13E2" w:rsidRPr="00EC2BCC" w:rsidRDefault="000E13E2" w:rsidP="000E13E2">
      <w:pPr>
        <w:pStyle w:val="NormalWeb"/>
        <w:spacing w:after="120" w:afterAutospacing="0" w:line="360" w:lineRule="auto"/>
        <w:jc w:val="both"/>
        <w:rPr>
          <w:sz w:val="20"/>
          <w:szCs w:val="20"/>
        </w:rPr>
      </w:pPr>
      <w:r w:rsidRPr="000E13E2">
        <w:rPr>
          <w:bCs/>
          <w:sz w:val="20"/>
          <w:szCs w:val="20"/>
          <w:lang w:val="en"/>
        </w:rPr>
        <w:t>Table 2.</w:t>
      </w:r>
      <w:r w:rsidRPr="00EC2BCC">
        <w:rPr>
          <w:sz w:val="20"/>
          <w:szCs w:val="20"/>
          <w:lang w:val="en"/>
        </w:rPr>
        <w:t xml:space="preserve">  VILSs and normality tests of scale of viability of visual imagery. </w:t>
      </w:r>
    </w:p>
    <w:tbl>
      <w:tblPr>
        <w:tblStyle w:val="ListeTablo2"/>
        <w:tblW w:w="8102" w:type="dxa"/>
        <w:tblBorders>
          <w:insideH w:val="none" w:sz="0" w:space="0" w:color="auto"/>
        </w:tblBorders>
        <w:tblLook w:val="04A0" w:firstRow="1" w:lastRow="0" w:firstColumn="1" w:lastColumn="0" w:noHBand="0" w:noVBand="1"/>
      </w:tblPr>
      <w:tblGrid>
        <w:gridCol w:w="2872"/>
        <w:gridCol w:w="988"/>
        <w:gridCol w:w="593"/>
        <w:gridCol w:w="751"/>
        <w:gridCol w:w="929"/>
        <w:gridCol w:w="988"/>
        <w:gridCol w:w="981"/>
      </w:tblGrid>
      <w:tr w:rsidR="000E13E2" w:rsidRPr="00EC2BCC" w14:paraId="4E67CEF5" w14:textId="77777777" w:rsidTr="004E7C99">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themeColor="text1" w:themeTint="99"/>
              <w:bottom w:val="single" w:sz="4" w:space="0" w:color="666666" w:themeColor="text1" w:themeTint="99"/>
            </w:tcBorders>
            <w:shd w:val="clear" w:color="auto" w:fill="auto"/>
            <w:hideMark/>
          </w:tcPr>
          <w:p w14:paraId="22843D7D" w14:textId="77777777" w:rsidR="000E13E2" w:rsidRPr="00EC2BCC" w:rsidRDefault="000E13E2" w:rsidP="004E7C99">
            <w:pPr>
              <w:spacing w:line="360" w:lineRule="auto"/>
              <w:rPr>
                <w:rFonts w:cs="Times New Roman"/>
                <w:b w:val="0"/>
                <w:bCs w:val="0"/>
                <w:szCs w:val="20"/>
                <w:lang w:val="tr-TR" w:eastAsia="en-GB"/>
              </w:rPr>
            </w:pPr>
          </w:p>
        </w:tc>
        <w:tc>
          <w:tcPr>
            <w:tcW w:w="0" w:type="auto"/>
            <w:tcBorders>
              <w:top w:val="single" w:sz="4" w:space="0" w:color="666666" w:themeColor="text1" w:themeTint="99"/>
              <w:bottom w:val="single" w:sz="4" w:space="0" w:color="666666" w:themeColor="text1" w:themeTint="99"/>
            </w:tcBorders>
            <w:shd w:val="clear" w:color="auto" w:fill="auto"/>
            <w:hideMark/>
          </w:tcPr>
          <w:p w14:paraId="463798A3"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0"/>
                <w:lang w:val="tr-TR" w:eastAsia="en-GB"/>
              </w:rPr>
            </w:pPr>
            <w:r w:rsidRPr="00EC2BCC">
              <w:rPr>
                <w:rFonts w:cs="Times New Roman"/>
                <w:bCs w:val="0"/>
                <w:color w:val="000000"/>
                <w:szCs w:val="20"/>
                <w:lang w:val="en" w:eastAsia="en-GB"/>
              </w:rPr>
              <w:t>Average</w:t>
            </w:r>
          </w:p>
        </w:tc>
        <w:tc>
          <w:tcPr>
            <w:tcW w:w="0" w:type="auto"/>
            <w:tcBorders>
              <w:top w:val="single" w:sz="4" w:space="0" w:color="666666" w:themeColor="text1" w:themeTint="99"/>
              <w:bottom w:val="single" w:sz="4" w:space="0" w:color="666666" w:themeColor="text1" w:themeTint="99"/>
            </w:tcBorders>
            <w:shd w:val="clear" w:color="auto" w:fill="auto"/>
            <w:hideMark/>
          </w:tcPr>
          <w:p w14:paraId="5DE76FD8"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0"/>
                <w:lang w:val="tr-TR" w:eastAsia="en-GB"/>
              </w:rPr>
            </w:pPr>
            <w:r w:rsidRPr="00EC2BCC">
              <w:rPr>
                <w:rFonts w:cs="Times New Roman"/>
                <w:bCs w:val="0"/>
                <w:color w:val="000000"/>
                <w:szCs w:val="20"/>
                <w:lang w:val="en" w:eastAsia="en-GB"/>
              </w:rPr>
              <w:t>Std.</w:t>
            </w:r>
          </w:p>
        </w:tc>
        <w:tc>
          <w:tcPr>
            <w:tcW w:w="0" w:type="auto"/>
            <w:tcBorders>
              <w:top w:val="single" w:sz="4" w:space="0" w:color="666666" w:themeColor="text1" w:themeTint="99"/>
              <w:bottom w:val="single" w:sz="4" w:space="0" w:color="666666" w:themeColor="text1" w:themeTint="99"/>
            </w:tcBorders>
            <w:shd w:val="clear" w:color="auto" w:fill="auto"/>
            <w:hideMark/>
          </w:tcPr>
          <w:p w14:paraId="12BA8804"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0"/>
                <w:lang w:val="tr-TR" w:eastAsia="en-GB"/>
              </w:rPr>
            </w:pPr>
            <w:r w:rsidRPr="00EC2BCC">
              <w:rPr>
                <w:rFonts w:cs="Times New Roman"/>
                <w:bCs w:val="0"/>
                <w:color w:val="000000"/>
                <w:szCs w:val="20"/>
                <w:lang w:val="en" w:eastAsia="en-GB"/>
              </w:rPr>
              <w:t>Mode</w:t>
            </w:r>
          </w:p>
        </w:tc>
        <w:tc>
          <w:tcPr>
            <w:tcW w:w="0" w:type="auto"/>
            <w:tcBorders>
              <w:top w:val="single" w:sz="4" w:space="0" w:color="666666" w:themeColor="text1" w:themeTint="99"/>
              <w:bottom w:val="single" w:sz="4" w:space="0" w:color="666666" w:themeColor="text1" w:themeTint="99"/>
            </w:tcBorders>
            <w:shd w:val="clear" w:color="auto" w:fill="auto"/>
            <w:hideMark/>
          </w:tcPr>
          <w:p w14:paraId="1900AD10"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0"/>
                <w:lang w:val="tr-TR" w:eastAsia="en-GB"/>
              </w:rPr>
            </w:pPr>
            <w:r w:rsidRPr="00EC2BCC">
              <w:rPr>
                <w:rFonts w:cs="Times New Roman"/>
                <w:bCs w:val="0"/>
                <w:color w:val="000000"/>
                <w:szCs w:val="20"/>
                <w:lang w:val="en" w:eastAsia="en-GB"/>
              </w:rPr>
              <w:t>Median</w:t>
            </w:r>
          </w:p>
        </w:tc>
        <w:tc>
          <w:tcPr>
            <w:tcW w:w="0" w:type="auto"/>
            <w:tcBorders>
              <w:top w:val="single" w:sz="4" w:space="0" w:color="666666" w:themeColor="text1" w:themeTint="99"/>
              <w:bottom w:val="single" w:sz="4" w:space="0" w:color="666666" w:themeColor="text1" w:themeTint="99"/>
            </w:tcBorders>
            <w:shd w:val="clear" w:color="auto" w:fill="auto"/>
            <w:hideMark/>
          </w:tcPr>
          <w:p w14:paraId="49FC0DB6"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0"/>
                <w:lang w:val="tr-TR" w:eastAsia="en-GB"/>
              </w:rPr>
            </w:pPr>
            <w:r w:rsidRPr="00EC2BCC">
              <w:rPr>
                <w:rFonts w:cs="Times New Roman"/>
                <w:bCs w:val="0"/>
                <w:color w:val="000000"/>
                <w:szCs w:val="20"/>
                <w:lang w:val="en" w:eastAsia="en-GB"/>
              </w:rPr>
              <w:t xml:space="preserve">Z </w:t>
            </w:r>
            <w:r w:rsidRPr="00EC2BCC">
              <w:rPr>
                <w:rFonts w:cs="Times New Roman"/>
                <w:bCs w:val="0"/>
                <w:color w:val="000000"/>
                <w:szCs w:val="20"/>
                <w:vertAlign w:val="subscript"/>
                <w:lang w:val="en" w:eastAsia="en-GB"/>
              </w:rPr>
              <w:t>Skewness</w:t>
            </w:r>
          </w:p>
        </w:tc>
        <w:tc>
          <w:tcPr>
            <w:tcW w:w="0" w:type="auto"/>
            <w:tcBorders>
              <w:top w:val="single" w:sz="4" w:space="0" w:color="666666" w:themeColor="text1" w:themeTint="99"/>
              <w:bottom w:val="single" w:sz="4" w:space="0" w:color="666666" w:themeColor="text1" w:themeTint="99"/>
            </w:tcBorders>
            <w:shd w:val="clear" w:color="auto" w:fill="auto"/>
            <w:hideMark/>
          </w:tcPr>
          <w:p w14:paraId="65A6E338"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0"/>
                <w:lang w:val="tr-TR" w:eastAsia="en-GB"/>
              </w:rPr>
            </w:pPr>
            <w:proofErr w:type="spellStart"/>
            <w:r w:rsidRPr="00EC2BCC">
              <w:rPr>
                <w:rFonts w:cs="Times New Roman"/>
                <w:bCs w:val="0"/>
                <w:color w:val="000000"/>
                <w:szCs w:val="20"/>
                <w:lang w:val="en" w:eastAsia="en-GB"/>
              </w:rPr>
              <w:t>Z</w:t>
            </w:r>
            <w:r w:rsidRPr="00EC2BCC">
              <w:rPr>
                <w:rFonts w:cs="Times New Roman"/>
                <w:bCs w:val="0"/>
                <w:color w:val="000000"/>
                <w:szCs w:val="20"/>
                <w:vertAlign w:val="subscript"/>
                <w:lang w:val="en" w:eastAsia="en-GB"/>
              </w:rPr>
              <w:t>Flattening</w:t>
            </w:r>
            <w:proofErr w:type="spellEnd"/>
          </w:p>
        </w:tc>
      </w:tr>
      <w:tr w:rsidR="000E13E2" w:rsidRPr="00EC2BCC" w14:paraId="71B56C57" w14:textId="77777777" w:rsidTr="004E7C9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themeColor="text1" w:themeTint="99"/>
            </w:tcBorders>
            <w:shd w:val="clear" w:color="auto" w:fill="auto"/>
            <w:hideMark/>
          </w:tcPr>
          <w:p w14:paraId="7F7B7141" w14:textId="77777777" w:rsidR="000E13E2" w:rsidRPr="00EC2BCC" w:rsidRDefault="000E13E2" w:rsidP="004E7C99">
            <w:pPr>
              <w:spacing w:line="360" w:lineRule="auto"/>
              <w:rPr>
                <w:rFonts w:cs="Times New Roman"/>
                <w:b w:val="0"/>
                <w:bCs w:val="0"/>
                <w:szCs w:val="20"/>
                <w:lang w:val="tr-TR" w:eastAsia="en-GB"/>
              </w:rPr>
            </w:pPr>
            <w:r w:rsidRPr="00EC2BCC">
              <w:rPr>
                <w:rFonts w:cs="Times New Roman"/>
                <w:b w:val="0"/>
                <w:bCs w:val="0"/>
                <w:color w:val="000000"/>
                <w:szCs w:val="20"/>
                <w:lang w:val="en" w:eastAsia="en-GB"/>
              </w:rPr>
              <w:t>Process Strategies</w:t>
            </w:r>
          </w:p>
        </w:tc>
        <w:tc>
          <w:tcPr>
            <w:tcW w:w="0" w:type="auto"/>
            <w:tcBorders>
              <w:top w:val="single" w:sz="4" w:space="0" w:color="666666" w:themeColor="text1" w:themeTint="99"/>
            </w:tcBorders>
            <w:shd w:val="clear" w:color="auto" w:fill="auto"/>
          </w:tcPr>
          <w:p w14:paraId="3DB4CC2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3.33</w:t>
            </w:r>
          </w:p>
        </w:tc>
        <w:tc>
          <w:tcPr>
            <w:tcW w:w="0" w:type="auto"/>
            <w:tcBorders>
              <w:top w:val="single" w:sz="4" w:space="0" w:color="666666" w:themeColor="text1" w:themeTint="99"/>
            </w:tcBorders>
            <w:shd w:val="clear" w:color="auto" w:fill="auto"/>
          </w:tcPr>
          <w:p w14:paraId="5C09435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.71</w:t>
            </w:r>
          </w:p>
        </w:tc>
        <w:tc>
          <w:tcPr>
            <w:tcW w:w="0" w:type="auto"/>
            <w:tcBorders>
              <w:top w:val="single" w:sz="4" w:space="0" w:color="666666" w:themeColor="text1" w:themeTint="99"/>
            </w:tcBorders>
            <w:shd w:val="clear" w:color="auto" w:fill="auto"/>
          </w:tcPr>
          <w:p w14:paraId="6A6969D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3.67</w:t>
            </w:r>
          </w:p>
        </w:tc>
        <w:tc>
          <w:tcPr>
            <w:tcW w:w="0" w:type="auto"/>
            <w:tcBorders>
              <w:top w:val="single" w:sz="4" w:space="0" w:color="666666" w:themeColor="text1" w:themeTint="99"/>
            </w:tcBorders>
            <w:shd w:val="clear" w:color="auto" w:fill="auto"/>
          </w:tcPr>
          <w:p w14:paraId="690F873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3.43</w:t>
            </w:r>
          </w:p>
        </w:tc>
        <w:tc>
          <w:tcPr>
            <w:tcW w:w="0" w:type="auto"/>
            <w:tcBorders>
              <w:top w:val="single" w:sz="4" w:space="0" w:color="666666" w:themeColor="text1" w:themeTint="99"/>
            </w:tcBorders>
            <w:shd w:val="clear" w:color="auto" w:fill="auto"/>
          </w:tcPr>
          <w:p w14:paraId="13C36F2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-1.78</w:t>
            </w:r>
          </w:p>
        </w:tc>
        <w:tc>
          <w:tcPr>
            <w:tcW w:w="0" w:type="auto"/>
            <w:tcBorders>
              <w:top w:val="single" w:sz="4" w:space="0" w:color="666666" w:themeColor="text1" w:themeTint="99"/>
            </w:tcBorders>
            <w:shd w:val="clear" w:color="auto" w:fill="auto"/>
          </w:tcPr>
          <w:p w14:paraId="4B8CC02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-.89</w:t>
            </w:r>
          </w:p>
        </w:tc>
      </w:tr>
      <w:tr w:rsidR="000E13E2" w:rsidRPr="00EC2BCC" w14:paraId="00E1F263" w14:textId="77777777" w:rsidTr="004E7C99">
        <w:trPr>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80A3852" w14:textId="77777777" w:rsidR="000E13E2" w:rsidRPr="00EC2BCC" w:rsidRDefault="000E13E2" w:rsidP="004E7C99">
            <w:pPr>
              <w:spacing w:line="360" w:lineRule="auto"/>
              <w:rPr>
                <w:rFonts w:cs="Times New Roman"/>
                <w:b w:val="0"/>
                <w:bCs w:val="0"/>
                <w:szCs w:val="20"/>
                <w:lang w:val="tr-TR" w:eastAsia="en-GB"/>
              </w:rPr>
            </w:pPr>
            <w:r w:rsidRPr="00EC2BCC">
              <w:rPr>
                <w:rFonts w:cs="Times New Roman"/>
                <w:b w:val="0"/>
                <w:bCs w:val="0"/>
                <w:color w:val="000000"/>
                <w:szCs w:val="20"/>
                <w:lang w:val="en" w:eastAsia="en-GB"/>
              </w:rPr>
              <w:t>Editing Strategies</w:t>
            </w:r>
          </w:p>
        </w:tc>
        <w:tc>
          <w:tcPr>
            <w:tcW w:w="0" w:type="auto"/>
            <w:shd w:val="clear" w:color="auto" w:fill="auto"/>
          </w:tcPr>
          <w:p w14:paraId="1B1F7F3A"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3.37</w:t>
            </w:r>
          </w:p>
        </w:tc>
        <w:tc>
          <w:tcPr>
            <w:tcW w:w="0" w:type="auto"/>
            <w:shd w:val="clear" w:color="auto" w:fill="auto"/>
          </w:tcPr>
          <w:p w14:paraId="22609AF4"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.64</w:t>
            </w:r>
          </w:p>
        </w:tc>
        <w:tc>
          <w:tcPr>
            <w:tcW w:w="0" w:type="auto"/>
            <w:shd w:val="clear" w:color="auto" w:fill="auto"/>
          </w:tcPr>
          <w:p w14:paraId="6F255609"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4.00</w:t>
            </w:r>
          </w:p>
        </w:tc>
        <w:tc>
          <w:tcPr>
            <w:tcW w:w="0" w:type="auto"/>
            <w:shd w:val="clear" w:color="auto" w:fill="auto"/>
          </w:tcPr>
          <w:p w14:paraId="0662777B"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3.44</w:t>
            </w:r>
          </w:p>
        </w:tc>
        <w:tc>
          <w:tcPr>
            <w:tcW w:w="0" w:type="auto"/>
            <w:shd w:val="clear" w:color="auto" w:fill="auto"/>
          </w:tcPr>
          <w:p w14:paraId="0A8E65DB"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-1.47</w:t>
            </w:r>
          </w:p>
        </w:tc>
        <w:tc>
          <w:tcPr>
            <w:tcW w:w="0" w:type="auto"/>
            <w:shd w:val="clear" w:color="auto" w:fill="auto"/>
          </w:tcPr>
          <w:p w14:paraId="13E63091"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-1.34</w:t>
            </w:r>
          </w:p>
        </w:tc>
      </w:tr>
      <w:tr w:rsidR="000E13E2" w:rsidRPr="00EC2BCC" w14:paraId="7B2FBD0C" w14:textId="77777777" w:rsidTr="004E7C9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71C6CEB" w14:textId="77777777" w:rsidR="000E13E2" w:rsidRPr="00EC2BCC" w:rsidRDefault="000E13E2" w:rsidP="004E7C99">
            <w:pPr>
              <w:spacing w:line="360" w:lineRule="auto"/>
              <w:rPr>
                <w:rFonts w:cs="Times New Roman"/>
                <w:b w:val="0"/>
                <w:bCs w:val="0"/>
                <w:szCs w:val="20"/>
                <w:lang w:val="tr-TR" w:eastAsia="en-GB"/>
              </w:rPr>
            </w:pPr>
            <w:r w:rsidRPr="00EC2BCC">
              <w:rPr>
                <w:rFonts w:cs="Times New Roman"/>
                <w:b w:val="0"/>
                <w:bCs w:val="0"/>
                <w:color w:val="000000"/>
                <w:szCs w:val="20"/>
                <w:lang w:val="en" w:eastAsia="en-GB"/>
              </w:rPr>
              <w:t>The Mental Model in Learning</w:t>
            </w:r>
          </w:p>
        </w:tc>
        <w:tc>
          <w:tcPr>
            <w:tcW w:w="0" w:type="auto"/>
            <w:shd w:val="clear" w:color="auto" w:fill="auto"/>
          </w:tcPr>
          <w:p w14:paraId="188B72F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3.72</w:t>
            </w:r>
          </w:p>
        </w:tc>
        <w:tc>
          <w:tcPr>
            <w:tcW w:w="0" w:type="auto"/>
            <w:shd w:val="clear" w:color="auto" w:fill="auto"/>
          </w:tcPr>
          <w:p w14:paraId="38C6AC93"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.50</w:t>
            </w:r>
          </w:p>
        </w:tc>
        <w:tc>
          <w:tcPr>
            <w:tcW w:w="0" w:type="auto"/>
            <w:shd w:val="clear" w:color="auto" w:fill="auto"/>
          </w:tcPr>
          <w:p w14:paraId="38D74F61"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3.52</w:t>
            </w:r>
          </w:p>
        </w:tc>
        <w:tc>
          <w:tcPr>
            <w:tcW w:w="0" w:type="auto"/>
            <w:shd w:val="clear" w:color="auto" w:fill="auto"/>
          </w:tcPr>
          <w:p w14:paraId="370D1D1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3.76</w:t>
            </w:r>
          </w:p>
        </w:tc>
        <w:tc>
          <w:tcPr>
            <w:tcW w:w="0" w:type="auto"/>
            <w:shd w:val="clear" w:color="auto" w:fill="auto"/>
          </w:tcPr>
          <w:p w14:paraId="0D2302C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-.90</w:t>
            </w:r>
          </w:p>
        </w:tc>
        <w:tc>
          <w:tcPr>
            <w:tcW w:w="0" w:type="auto"/>
            <w:shd w:val="clear" w:color="auto" w:fill="auto"/>
          </w:tcPr>
          <w:p w14:paraId="132E884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r w:rsidRPr="00EC2BCC">
              <w:rPr>
                <w:rFonts w:cs="Times New Roman"/>
                <w:szCs w:val="20"/>
                <w:lang w:val="en" w:eastAsia="en-GB"/>
              </w:rPr>
              <w:t>-58</w:t>
            </w:r>
          </w:p>
        </w:tc>
      </w:tr>
      <w:tr w:rsidR="000E13E2" w:rsidRPr="00EC2BCC" w14:paraId="4A5F9F33" w14:textId="77777777" w:rsidTr="004E7C99">
        <w:trPr>
          <w:trHeight w:val="3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7475B5" w14:textId="77777777" w:rsidR="000E13E2" w:rsidRPr="00EC2BCC" w:rsidRDefault="000E13E2" w:rsidP="004E7C99">
            <w:pPr>
              <w:spacing w:line="360" w:lineRule="auto"/>
              <w:rPr>
                <w:rFonts w:cs="Times New Roman"/>
                <w:b w:val="0"/>
                <w:bCs w:val="0"/>
                <w:color w:val="000000"/>
                <w:szCs w:val="20"/>
                <w:lang w:val="tr-TR" w:eastAsia="en-GB"/>
              </w:rPr>
            </w:pPr>
            <w:r w:rsidRPr="00EC2BCC">
              <w:rPr>
                <w:rFonts w:cs="Times New Roman"/>
                <w:b w:val="0"/>
                <w:bCs w:val="0"/>
                <w:color w:val="000000"/>
                <w:szCs w:val="20"/>
                <w:lang w:val="en" w:eastAsia="en-GB"/>
              </w:rPr>
              <w:t>Learning Orientations</w:t>
            </w:r>
          </w:p>
        </w:tc>
        <w:tc>
          <w:tcPr>
            <w:tcW w:w="0" w:type="auto"/>
            <w:shd w:val="clear" w:color="auto" w:fill="auto"/>
          </w:tcPr>
          <w:p w14:paraId="1BD4A6CE"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3.61</w:t>
            </w:r>
          </w:p>
        </w:tc>
        <w:tc>
          <w:tcPr>
            <w:tcW w:w="0" w:type="auto"/>
            <w:shd w:val="clear" w:color="auto" w:fill="auto"/>
          </w:tcPr>
          <w:p w14:paraId="480FDEAA"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.57</w:t>
            </w:r>
          </w:p>
        </w:tc>
        <w:tc>
          <w:tcPr>
            <w:tcW w:w="0" w:type="auto"/>
            <w:shd w:val="clear" w:color="auto" w:fill="auto"/>
          </w:tcPr>
          <w:p w14:paraId="23DDF195"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3.85</w:t>
            </w:r>
          </w:p>
        </w:tc>
        <w:tc>
          <w:tcPr>
            <w:tcW w:w="0" w:type="auto"/>
            <w:shd w:val="clear" w:color="auto" w:fill="auto"/>
          </w:tcPr>
          <w:p w14:paraId="1489A21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3.80</w:t>
            </w:r>
          </w:p>
        </w:tc>
        <w:tc>
          <w:tcPr>
            <w:tcW w:w="0" w:type="auto"/>
            <w:shd w:val="clear" w:color="auto" w:fill="auto"/>
          </w:tcPr>
          <w:p w14:paraId="7F1C38B3"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-1.89</w:t>
            </w:r>
          </w:p>
        </w:tc>
        <w:tc>
          <w:tcPr>
            <w:tcW w:w="0" w:type="auto"/>
            <w:shd w:val="clear" w:color="auto" w:fill="auto"/>
          </w:tcPr>
          <w:p w14:paraId="78B81DE4"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1.76</w:t>
            </w:r>
          </w:p>
        </w:tc>
      </w:tr>
      <w:tr w:rsidR="000E13E2" w:rsidRPr="00EC2BCC" w14:paraId="475E4879" w14:textId="77777777" w:rsidTr="004E7C9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B4C9B" w14:textId="77777777" w:rsidR="000E13E2" w:rsidRPr="00EC2BCC" w:rsidRDefault="000E13E2" w:rsidP="004E7C99">
            <w:pPr>
              <w:spacing w:line="360" w:lineRule="auto"/>
              <w:rPr>
                <w:rFonts w:cs="Times New Roman"/>
                <w:b w:val="0"/>
                <w:bCs w:val="0"/>
                <w:color w:val="000000"/>
                <w:szCs w:val="20"/>
                <w:lang w:val="tr-TR" w:eastAsia="en-GB"/>
              </w:rPr>
            </w:pPr>
            <w:r w:rsidRPr="00EC2BCC">
              <w:rPr>
                <w:rFonts w:cs="Times New Roman"/>
                <w:b w:val="0"/>
                <w:bCs w:val="0"/>
                <w:color w:val="000000"/>
                <w:szCs w:val="20"/>
                <w:lang w:val="en" w:eastAsia="en-GB"/>
              </w:rPr>
              <w:t>License Grade</w:t>
            </w:r>
          </w:p>
        </w:tc>
        <w:tc>
          <w:tcPr>
            <w:tcW w:w="0" w:type="auto"/>
            <w:shd w:val="clear" w:color="auto" w:fill="auto"/>
          </w:tcPr>
          <w:p w14:paraId="1C66B16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3.01</w:t>
            </w:r>
          </w:p>
        </w:tc>
        <w:tc>
          <w:tcPr>
            <w:tcW w:w="0" w:type="auto"/>
            <w:shd w:val="clear" w:color="auto" w:fill="auto"/>
          </w:tcPr>
          <w:p w14:paraId="2AB1514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.49</w:t>
            </w:r>
          </w:p>
        </w:tc>
        <w:tc>
          <w:tcPr>
            <w:tcW w:w="0" w:type="auto"/>
            <w:shd w:val="clear" w:color="auto" w:fill="auto"/>
          </w:tcPr>
          <w:p w14:paraId="6F87F0D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3.16</w:t>
            </w:r>
          </w:p>
        </w:tc>
        <w:tc>
          <w:tcPr>
            <w:tcW w:w="0" w:type="auto"/>
            <w:shd w:val="clear" w:color="auto" w:fill="auto"/>
          </w:tcPr>
          <w:p w14:paraId="4D2FAFC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3.05</w:t>
            </w:r>
          </w:p>
        </w:tc>
        <w:tc>
          <w:tcPr>
            <w:tcW w:w="0" w:type="auto"/>
            <w:shd w:val="clear" w:color="auto" w:fill="auto"/>
          </w:tcPr>
          <w:p w14:paraId="3977B512"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.001</w:t>
            </w:r>
          </w:p>
        </w:tc>
        <w:tc>
          <w:tcPr>
            <w:tcW w:w="0" w:type="auto"/>
            <w:shd w:val="clear" w:color="auto" w:fill="auto"/>
          </w:tcPr>
          <w:p w14:paraId="406A417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1.28</w:t>
            </w:r>
          </w:p>
        </w:tc>
      </w:tr>
      <w:tr w:rsidR="000E13E2" w:rsidRPr="00EC2BCC" w14:paraId="6F5EB572" w14:textId="77777777" w:rsidTr="004E7C99">
        <w:trPr>
          <w:trHeight w:val="3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0F266C" w14:textId="77777777" w:rsidR="000E13E2" w:rsidRPr="00EC2BCC" w:rsidRDefault="000E13E2" w:rsidP="004E7C99">
            <w:pPr>
              <w:spacing w:line="360" w:lineRule="auto"/>
              <w:rPr>
                <w:rFonts w:cs="Times New Roman"/>
                <w:b w:val="0"/>
                <w:bCs w:val="0"/>
                <w:color w:val="000000"/>
                <w:szCs w:val="20"/>
                <w:lang w:val="tr-TR" w:eastAsia="en-GB"/>
              </w:rPr>
            </w:pPr>
            <w:r w:rsidRPr="00EC2BCC">
              <w:rPr>
                <w:rFonts w:cs="Times New Roman"/>
                <w:b w:val="0"/>
                <w:bCs w:val="0"/>
                <w:color w:val="000000"/>
                <w:szCs w:val="20"/>
                <w:lang w:val="en" w:eastAsia="en-GB"/>
              </w:rPr>
              <w:t>Visual Imagery Vitality</w:t>
            </w:r>
          </w:p>
        </w:tc>
        <w:tc>
          <w:tcPr>
            <w:tcW w:w="0" w:type="auto"/>
            <w:shd w:val="clear" w:color="auto" w:fill="auto"/>
          </w:tcPr>
          <w:p w14:paraId="6B41B641"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47.70</w:t>
            </w:r>
          </w:p>
        </w:tc>
        <w:tc>
          <w:tcPr>
            <w:tcW w:w="0" w:type="auto"/>
            <w:shd w:val="clear" w:color="auto" w:fill="auto"/>
          </w:tcPr>
          <w:p w14:paraId="52F9BE3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21</w:t>
            </w:r>
          </w:p>
        </w:tc>
        <w:tc>
          <w:tcPr>
            <w:tcW w:w="0" w:type="auto"/>
            <w:shd w:val="clear" w:color="auto" w:fill="auto"/>
          </w:tcPr>
          <w:p w14:paraId="520345AE"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16</w:t>
            </w:r>
          </w:p>
        </w:tc>
        <w:tc>
          <w:tcPr>
            <w:tcW w:w="0" w:type="auto"/>
            <w:shd w:val="clear" w:color="auto" w:fill="auto"/>
          </w:tcPr>
          <w:p w14:paraId="62950E2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54.5</w:t>
            </w:r>
          </w:p>
        </w:tc>
        <w:tc>
          <w:tcPr>
            <w:tcW w:w="0" w:type="auto"/>
            <w:shd w:val="clear" w:color="auto" w:fill="auto"/>
          </w:tcPr>
          <w:p w14:paraId="0B4D0E9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-1.56</w:t>
            </w:r>
          </w:p>
        </w:tc>
        <w:tc>
          <w:tcPr>
            <w:tcW w:w="0" w:type="auto"/>
            <w:shd w:val="clear" w:color="auto" w:fill="auto"/>
          </w:tcPr>
          <w:p w14:paraId="26358C93"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-1.81</w:t>
            </w:r>
          </w:p>
        </w:tc>
      </w:tr>
    </w:tbl>
    <w:p w14:paraId="764079C9" w14:textId="5BF63E27" w:rsidR="00336A42" w:rsidRDefault="00336A42" w:rsidP="00D6757F">
      <w:pPr>
        <w:widowControl w:val="0"/>
        <w:spacing w:line="360" w:lineRule="auto"/>
        <w:rPr>
          <w:bCs/>
          <w:sz w:val="21"/>
          <w:szCs w:val="20"/>
        </w:rPr>
      </w:pPr>
    </w:p>
    <w:p w14:paraId="517AD617" w14:textId="7CE430A8" w:rsidR="000E13E2" w:rsidRPr="00413064" w:rsidRDefault="000E13E2" w:rsidP="00413064">
      <w:pPr>
        <w:pStyle w:val="NormalWeb"/>
        <w:spacing w:line="360" w:lineRule="auto"/>
        <w:jc w:val="both"/>
        <w:rPr>
          <w:sz w:val="20"/>
          <w:szCs w:val="20"/>
          <w:lang w:val="en"/>
        </w:rPr>
      </w:pPr>
      <w:r w:rsidRPr="00EC2BCC">
        <w:rPr>
          <w:sz w:val="20"/>
          <w:szCs w:val="20"/>
          <w:lang w:val="en"/>
        </w:rPr>
        <w:lastRenderedPageBreak/>
        <w:t xml:space="preserve">The mean, mode, median, skewness and flatness rates of variants based on investigation were determined and given in Table 2. If the mean, mode, and median rates are the same in series frequency distribution, it is possible to state that the data is dispersed symmetrically around the primary trend measurements. By examining the Z points of the skewness and flatness values in situations when these values are not </w:t>
      </w:r>
      <w:proofErr w:type="gramStart"/>
      <w:r w:rsidRPr="00EC2BCC">
        <w:rPr>
          <w:sz w:val="20"/>
          <w:szCs w:val="20"/>
          <w:lang w:val="en"/>
        </w:rPr>
        <w:t>equal to one another</w:t>
      </w:r>
      <w:proofErr w:type="gramEnd"/>
      <w:r w:rsidRPr="00EC2BCC">
        <w:rPr>
          <w:sz w:val="20"/>
          <w:szCs w:val="20"/>
          <w:lang w:val="en"/>
        </w:rPr>
        <w:t xml:space="preserve">, it is possible to determine whether the series is normally distributed or not. The data reflect normal distribution since the Z scores of the skewness and flatness factors remain within the range of (±1.96) (Field, 2009). </w:t>
      </w:r>
    </w:p>
    <w:p w14:paraId="613488A2" w14:textId="5A7B7A3E" w:rsidR="00176378" w:rsidRPr="000E13E2" w:rsidRDefault="0061751E" w:rsidP="00D6757F">
      <w:pPr>
        <w:widowControl w:val="0"/>
        <w:spacing w:line="360" w:lineRule="auto"/>
        <w:rPr>
          <w:b/>
          <w:sz w:val="24"/>
        </w:rPr>
      </w:pPr>
      <w:r>
        <w:rPr>
          <w:b/>
          <w:sz w:val="24"/>
        </w:rPr>
        <w:t>Results</w:t>
      </w:r>
    </w:p>
    <w:p w14:paraId="7C963470" w14:textId="77777777" w:rsidR="000E13E2" w:rsidRPr="00EC2BCC" w:rsidRDefault="000E13E2" w:rsidP="000E13E2">
      <w:pPr>
        <w:pStyle w:val="NormalWeb"/>
        <w:spacing w:line="360" w:lineRule="auto"/>
        <w:jc w:val="both"/>
        <w:rPr>
          <w:sz w:val="20"/>
          <w:szCs w:val="20"/>
        </w:rPr>
      </w:pPr>
      <w:r w:rsidRPr="00EC2BCC">
        <w:rPr>
          <w:sz w:val="20"/>
          <w:szCs w:val="20"/>
          <w:lang w:val="en"/>
        </w:rPr>
        <w:t xml:space="preserve">The research's conclusions in accordance with the main goals and secondary goals are presented in this part. The distribution of the apathetic and non-apathetic individuals participating in the study in the categories of gender, age, educational status and achievement perception is presented in Table 3. </w:t>
      </w:r>
    </w:p>
    <w:p w14:paraId="0F005972" w14:textId="2966B403" w:rsidR="0061751E" w:rsidRDefault="000E13E2" w:rsidP="000E13E2">
      <w:pPr>
        <w:widowControl w:val="0"/>
        <w:spacing w:line="360" w:lineRule="auto"/>
        <w:rPr>
          <w:szCs w:val="20"/>
          <w:lang w:val="en"/>
        </w:rPr>
      </w:pPr>
      <w:r w:rsidRPr="000E13E2">
        <w:rPr>
          <w:bCs/>
          <w:szCs w:val="20"/>
          <w:lang w:val="en"/>
        </w:rPr>
        <w:t>Table 3.</w:t>
      </w:r>
      <w:r w:rsidRPr="00EC2BCC">
        <w:rPr>
          <w:szCs w:val="20"/>
          <w:lang w:val="en"/>
        </w:rPr>
        <w:t xml:space="preserve"> Demographic info of participants.</w:t>
      </w:r>
    </w:p>
    <w:tbl>
      <w:tblPr>
        <w:tblStyle w:val="ListeTablo2"/>
        <w:tblpPr w:leftFromText="141" w:rightFromText="141" w:vertAnchor="text" w:horzAnchor="margin" w:tblpY="97"/>
        <w:tblW w:w="8357" w:type="dxa"/>
        <w:tblBorders>
          <w:insideH w:val="none" w:sz="0" w:space="0" w:color="auto"/>
        </w:tblBorders>
        <w:tblLook w:val="04A0" w:firstRow="1" w:lastRow="0" w:firstColumn="1" w:lastColumn="0" w:noHBand="0" w:noVBand="1"/>
      </w:tblPr>
      <w:tblGrid>
        <w:gridCol w:w="1138"/>
        <w:gridCol w:w="1405"/>
        <w:gridCol w:w="968"/>
        <w:gridCol w:w="970"/>
        <w:gridCol w:w="968"/>
        <w:gridCol w:w="970"/>
        <w:gridCol w:w="968"/>
        <w:gridCol w:w="970"/>
      </w:tblGrid>
      <w:tr w:rsidR="000E13E2" w:rsidRPr="00EC2BCC" w14:paraId="0DC7F615" w14:textId="77777777" w:rsidTr="000E13E2">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tcBorders>
              <w:top w:val="single" w:sz="4" w:space="0" w:color="666666" w:themeColor="text1" w:themeTint="99"/>
              <w:bottom w:val="nil"/>
            </w:tcBorders>
            <w:shd w:val="clear" w:color="auto" w:fill="auto"/>
            <w:hideMark/>
          </w:tcPr>
          <w:p w14:paraId="14FFE181" w14:textId="77777777" w:rsidR="000E13E2" w:rsidRPr="00EC2BCC" w:rsidRDefault="000E13E2" w:rsidP="000E13E2">
            <w:pPr>
              <w:spacing w:line="360" w:lineRule="auto"/>
              <w:rPr>
                <w:rFonts w:cs="Times New Roman"/>
                <w:b w:val="0"/>
                <w:bCs w:val="0"/>
                <w:szCs w:val="20"/>
                <w:lang w:eastAsia="en-GB"/>
              </w:rPr>
            </w:pPr>
            <w:bookmarkStart w:id="3" w:name="_Toc94530642"/>
          </w:p>
        </w:tc>
        <w:tc>
          <w:tcPr>
            <w:tcW w:w="1405" w:type="dxa"/>
            <w:tcBorders>
              <w:top w:val="single" w:sz="4" w:space="0" w:color="666666" w:themeColor="text1" w:themeTint="99"/>
              <w:bottom w:val="nil"/>
            </w:tcBorders>
            <w:shd w:val="clear" w:color="auto" w:fill="auto"/>
            <w:hideMark/>
          </w:tcPr>
          <w:p w14:paraId="377AC830" w14:textId="77777777" w:rsidR="000E13E2" w:rsidRPr="00EC2BCC" w:rsidRDefault="000E13E2" w:rsidP="000E13E2">
            <w:pPr>
              <w:spacing w:line="360" w:lineRule="auto"/>
              <w:cnfStyle w:val="100000000000" w:firstRow="1" w:lastRow="0" w:firstColumn="0" w:lastColumn="0" w:oddVBand="0" w:evenVBand="0" w:oddHBand="0" w:evenHBand="0" w:firstRowFirstColumn="0" w:firstRowLastColumn="0" w:lastRowFirstColumn="0" w:lastRowLastColumn="0"/>
              <w:rPr>
                <w:rFonts w:cs="Times New Roman"/>
                <w:b w:val="0"/>
                <w:bCs w:val="0"/>
                <w:szCs w:val="20"/>
                <w:lang w:eastAsia="en-GB"/>
              </w:rPr>
            </w:pPr>
          </w:p>
        </w:tc>
        <w:tc>
          <w:tcPr>
            <w:tcW w:w="3876" w:type="dxa"/>
            <w:gridSpan w:val="4"/>
            <w:tcBorders>
              <w:top w:val="single" w:sz="4" w:space="0" w:color="666666" w:themeColor="text1" w:themeTint="99"/>
              <w:bottom w:val="single" w:sz="4" w:space="0" w:color="auto"/>
            </w:tcBorders>
            <w:shd w:val="clear" w:color="auto" w:fill="auto"/>
            <w:hideMark/>
          </w:tcPr>
          <w:p w14:paraId="7C5EA75C" w14:textId="77777777" w:rsidR="000E13E2" w:rsidRPr="00EC2BCC" w:rsidRDefault="000E13E2" w:rsidP="000E13E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eastAsia="en-GB"/>
              </w:rPr>
            </w:pPr>
            <w:r w:rsidRPr="00EC2BCC">
              <w:rPr>
                <w:rFonts w:cs="Times New Roman"/>
                <w:bCs w:val="0"/>
                <w:color w:val="000000"/>
                <w:szCs w:val="20"/>
                <w:lang w:val="en" w:eastAsia="en-GB"/>
              </w:rPr>
              <w:t>Groups</w:t>
            </w:r>
          </w:p>
        </w:tc>
        <w:tc>
          <w:tcPr>
            <w:tcW w:w="1938" w:type="dxa"/>
            <w:gridSpan w:val="2"/>
            <w:vMerge w:val="restart"/>
            <w:tcBorders>
              <w:top w:val="single" w:sz="4" w:space="0" w:color="666666" w:themeColor="text1" w:themeTint="99"/>
              <w:bottom w:val="nil"/>
            </w:tcBorders>
            <w:shd w:val="clear" w:color="auto" w:fill="auto"/>
            <w:noWrap/>
            <w:vAlign w:val="center"/>
            <w:hideMark/>
          </w:tcPr>
          <w:p w14:paraId="56477107" w14:textId="77777777" w:rsidR="000E13E2" w:rsidRPr="00EC2BCC" w:rsidRDefault="000E13E2" w:rsidP="000E13E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eastAsia="en-GB"/>
              </w:rPr>
            </w:pPr>
            <w:r w:rsidRPr="00EC2BCC">
              <w:rPr>
                <w:rFonts w:cs="Times New Roman"/>
                <w:bCs w:val="0"/>
                <w:color w:val="000000"/>
                <w:szCs w:val="20"/>
                <w:lang w:val="en" w:eastAsia="en-GB"/>
              </w:rPr>
              <w:t>Sum</w:t>
            </w:r>
          </w:p>
        </w:tc>
      </w:tr>
      <w:tr w:rsidR="000E13E2" w:rsidRPr="00EC2BCC" w14:paraId="52F1523F"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tcBorders>
              <w:top w:val="nil"/>
              <w:bottom w:val="single" w:sz="4" w:space="0" w:color="666666" w:themeColor="text1" w:themeTint="99"/>
            </w:tcBorders>
            <w:shd w:val="clear" w:color="auto" w:fill="auto"/>
            <w:hideMark/>
          </w:tcPr>
          <w:p w14:paraId="4B38439E"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top w:val="nil"/>
              <w:bottom w:val="single" w:sz="4" w:space="0" w:color="666666" w:themeColor="text1" w:themeTint="99"/>
            </w:tcBorders>
            <w:shd w:val="clear" w:color="auto" w:fill="auto"/>
            <w:hideMark/>
          </w:tcPr>
          <w:p w14:paraId="4886E2E2"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0"/>
                <w:lang w:eastAsia="en-GB"/>
              </w:rPr>
            </w:pPr>
          </w:p>
        </w:tc>
        <w:tc>
          <w:tcPr>
            <w:tcW w:w="1938" w:type="dxa"/>
            <w:gridSpan w:val="2"/>
            <w:tcBorders>
              <w:top w:val="single" w:sz="4" w:space="0" w:color="auto"/>
              <w:bottom w:val="single" w:sz="4" w:space="0" w:color="666666" w:themeColor="text1" w:themeTint="99"/>
            </w:tcBorders>
            <w:shd w:val="clear" w:color="auto" w:fill="auto"/>
            <w:hideMark/>
          </w:tcPr>
          <w:p w14:paraId="79BAD3D0"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eastAsia="en-GB"/>
              </w:rPr>
            </w:pPr>
            <w:proofErr w:type="spellStart"/>
            <w:r w:rsidRPr="00EC2BCC">
              <w:rPr>
                <w:rFonts w:cs="Times New Roman"/>
                <w:b/>
                <w:color w:val="000000"/>
                <w:szCs w:val="20"/>
                <w:lang w:val="tr-TR" w:eastAsia="en-GB"/>
              </w:rPr>
              <w:t>Aphantasic</w:t>
            </w:r>
            <w:proofErr w:type="spellEnd"/>
          </w:p>
        </w:tc>
        <w:tc>
          <w:tcPr>
            <w:tcW w:w="1938" w:type="dxa"/>
            <w:gridSpan w:val="2"/>
            <w:tcBorders>
              <w:top w:val="single" w:sz="4" w:space="0" w:color="auto"/>
              <w:bottom w:val="single" w:sz="4" w:space="0" w:color="666666" w:themeColor="text1" w:themeTint="99"/>
            </w:tcBorders>
            <w:shd w:val="clear" w:color="auto" w:fill="auto"/>
            <w:hideMark/>
          </w:tcPr>
          <w:p w14:paraId="0F5CB8FE"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eastAsia="en-GB"/>
              </w:rPr>
            </w:pPr>
            <w:proofErr w:type="gramStart"/>
            <w:r w:rsidRPr="00EC2BCC">
              <w:rPr>
                <w:rFonts w:cs="Times New Roman"/>
                <w:b/>
                <w:color w:val="000000"/>
                <w:szCs w:val="20"/>
                <w:lang w:val="en" w:eastAsia="en-GB"/>
              </w:rPr>
              <w:t xml:space="preserve">Not </w:t>
            </w:r>
            <w:r w:rsidRPr="00EC2BCC">
              <w:rPr>
                <w:rFonts w:cs="Times New Roman"/>
                <w:b/>
                <w:color w:val="000000"/>
                <w:szCs w:val="20"/>
                <w:lang w:val="tr-TR" w:eastAsia="en-GB"/>
              </w:rPr>
              <w:t xml:space="preserve"> </w:t>
            </w:r>
            <w:proofErr w:type="spellStart"/>
            <w:r w:rsidRPr="00EC2BCC">
              <w:rPr>
                <w:rFonts w:cs="Times New Roman"/>
                <w:b/>
                <w:color w:val="000000"/>
                <w:szCs w:val="20"/>
                <w:lang w:val="tr-TR" w:eastAsia="en-GB"/>
              </w:rPr>
              <w:t>aphantasic</w:t>
            </w:r>
            <w:proofErr w:type="spellEnd"/>
            <w:proofErr w:type="gramEnd"/>
          </w:p>
        </w:tc>
        <w:tc>
          <w:tcPr>
            <w:tcW w:w="1938" w:type="dxa"/>
            <w:gridSpan w:val="2"/>
            <w:vMerge/>
            <w:tcBorders>
              <w:top w:val="nil"/>
              <w:bottom w:val="single" w:sz="4" w:space="0" w:color="666666" w:themeColor="text1" w:themeTint="99"/>
            </w:tcBorders>
            <w:shd w:val="clear" w:color="auto" w:fill="auto"/>
            <w:hideMark/>
          </w:tcPr>
          <w:p w14:paraId="7331A76F"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p>
        </w:tc>
      </w:tr>
      <w:tr w:rsidR="000E13E2" w:rsidRPr="00EC2BCC" w14:paraId="5020897D"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tcBorders>
              <w:top w:val="single" w:sz="4" w:space="0" w:color="666666" w:themeColor="text1" w:themeTint="99"/>
              <w:bottom w:val="single" w:sz="4" w:space="0" w:color="auto"/>
            </w:tcBorders>
            <w:shd w:val="clear" w:color="auto" w:fill="auto"/>
            <w:hideMark/>
          </w:tcPr>
          <w:p w14:paraId="0EED1D92"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top w:val="single" w:sz="4" w:space="0" w:color="666666" w:themeColor="text1" w:themeTint="99"/>
              <w:bottom w:val="single" w:sz="4" w:space="0" w:color="auto"/>
            </w:tcBorders>
            <w:shd w:val="clear" w:color="auto" w:fill="auto"/>
            <w:hideMark/>
          </w:tcPr>
          <w:p w14:paraId="399425FB"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0"/>
                <w:lang w:eastAsia="en-GB"/>
              </w:rPr>
            </w:pPr>
          </w:p>
        </w:tc>
        <w:tc>
          <w:tcPr>
            <w:tcW w:w="968" w:type="dxa"/>
            <w:tcBorders>
              <w:top w:val="single" w:sz="4" w:space="0" w:color="666666" w:themeColor="text1" w:themeTint="99"/>
              <w:bottom w:val="single" w:sz="4" w:space="0" w:color="auto"/>
            </w:tcBorders>
            <w:shd w:val="clear" w:color="auto" w:fill="auto"/>
            <w:hideMark/>
          </w:tcPr>
          <w:p w14:paraId="0381F404"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N</w:t>
            </w:r>
          </w:p>
        </w:tc>
        <w:tc>
          <w:tcPr>
            <w:tcW w:w="970" w:type="dxa"/>
            <w:tcBorders>
              <w:top w:val="single" w:sz="4" w:space="0" w:color="666666" w:themeColor="text1" w:themeTint="99"/>
              <w:bottom w:val="single" w:sz="4" w:space="0" w:color="auto"/>
            </w:tcBorders>
            <w:shd w:val="clear" w:color="auto" w:fill="auto"/>
            <w:hideMark/>
          </w:tcPr>
          <w:p w14:paraId="2B7AEB29"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w:t>
            </w:r>
          </w:p>
        </w:tc>
        <w:tc>
          <w:tcPr>
            <w:tcW w:w="968" w:type="dxa"/>
            <w:tcBorders>
              <w:top w:val="single" w:sz="4" w:space="0" w:color="666666" w:themeColor="text1" w:themeTint="99"/>
              <w:bottom w:val="single" w:sz="4" w:space="0" w:color="auto"/>
            </w:tcBorders>
            <w:shd w:val="clear" w:color="auto" w:fill="auto"/>
            <w:hideMark/>
          </w:tcPr>
          <w:p w14:paraId="259C5618"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N</w:t>
            </w:r>
          </w:p>
        </w:tc>
        <w:tc>
          <w:tcPr>
            <w:tcW w:w="970" w:type="dxa"/>
            <w:tcBorders>
              <w:top w:val="single" w:sz="4" w:space="0" w:color="666666" w:themeColor="text1" w:themeTint="99"/>
              <w:bottom w:val="single" w:sz="4" w:space="0" w:color="auto"/>
            </w:tcBorders>
            <w:shd w:val="clear" w:color="auto" w:fill="auto"/>
            <w:hideMark/>
          </w:tcPr>
          <w:p w14:paraId="799F9428"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w:t>
            </w:r>
          </w:p>
        </w:tc>
        <w:tc>
          <w:tcPr>
            <w:tcW w:w="968" w:type="dxa"/>
            <w:tcBorders>
              <w:top w:val="single" w:sz="4" w:space="0" w:color="666666" w:themeColor="text1" w:themeTint="99"/>
              <w:bottom w:val="single" w:sz="4" w:space="0" w:color="auto"/>
            </w:tcBorders>
            <w:shd w:val="clear" w:color="auto" w:fill="auto"/>
            <w:hideMark/>
          </w:tcPr>
          <w:p w14:paraId="7A03C0A2"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N</w:t>
            </w:r>
          </w:p>
        </w:tc>
        <w:tc>
          <w:tcPr>
            <w:tcW w:w="970" w:type="dxa"/>
            <w:tcBorders>
              <w:top w:val="single" w:sz="4" w:space="0" w:color="666666" w:themeColor="text1" w:themeTint="99"/>
              <w:bottom w:val="single" w:sz="4" w:space="0" w:color="auto"/>
            </w:tcBorders>
            <w:shd w:val="clear" w:color="auto" w:fill="auto"/>
            <w:hideMark/>
          </w:tcPr>
          <w:p w14:paraId="7D01FBA9"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w:t>
            </w:r>
          </w:p>
        </w:tc>
      </w:tr>
      <w:tr w:rsidR="000E13E2" w:rsidRPr="00EC2BCC" w14:paraId="3A82A31F"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val="restart"/>
            <w:tcBorders>
              <w:top w:val="single" w:sz="4" w:space="0" w:color="auto"/>
              <w:bottom w:val="single" w:sz="4" w:space="0" w:color="auto"/>
            </w:tcBorders>
            <w:shd w:val="clear" w:color="auto" w:fill="auto"/>
            <w:vAlign w:val="center"/>
            <w:hideMark/>
          </w:tcPr>
          <w:p w14:paraId="0B476D6F" w14:textId="77777777" w:rsidR="000E13E2" w:rsidRPr="00EC2BCC" w:rsidRDefault="000E13E2" w:rsidP="000E13E2">
            <w:pPr>
              <w:spacing w:line="360" w:lineRule="auto"/>
              <w:jc w:val="center"/>
              <w:rPr>
                <w:rFonts w:cs="Times New Roman"/>
                <w:bCs w:val="0"/>
                <w:color w:val="000000"/>
                <w:szCs w:val="20"/>
                <w:lang w:eastAsia="en-GB"/>
              </w:rPr>
            </w:pPr>
            <w:r w:rsidRPr="00EC2BCC">
              <w:rPr>
                <w:rFonts w:cs="Times New Roman"/>
                <w:bCs w:val="0"/>
                <w:color w:val="000000"/>
                <w:szCs w:val="20"/>
                <w:lang w:val="en" w:eastAsia="en-GB"/>
              </w:rPr>
              <w:t>Gender</w:t>
            </w:r>
          </w:p>
        </w:tc>
        <w:tc>
          <w:tcPr>
            <w:tcW w:w="1405" w:type="dxa"/>
            <w:tcBorders>
              <w:top w:val="single" w:sz="4" w:space="0" w:color="auto"/>
              <w:bottom w:val="nil"/>
            </w:tcBorders>
            <w:shd w:val="clear" w:color="auto" w:fill="auto"/>
            <w:hideMark/>
          </w:tcPr>
          <w:p w14:paraId="4E3DF9D0"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highlight w:val="yellow"/>
                <w:lang w:eastAsia="en-GB"/>
              </w:rPr>
            </w:pPr>
            <w:r w:rsidRPr="00EC2BCC">
              <w:rPr>
                <w:rFonts w:cs="Times New Roman"/>
                <w:color w:val="000000"/>
                <w:szCs w:val="20"/>
                <w:lang w:val="en" w:eastAsia="en-GB"/>
              </w:rPr>
              <w:t>Female</w:t>
            </w:r>
          </w:p>
        </w:tc>
        <w:tc>
          <w:tcPr>
            <w:tcW w:w="968" w:type="dxa"/>
            <w:tcBorders>
              <w:top w:val="single" w:sz="4" w:space="0" w:color="auto"/>
            </w:tcBorders>
            <w:shd w:val="clear" w:color="auto" w:fill="auto"/>
            <w:noWrap/>
            <w:hideMark/>
          </w:tcPr>
          <w:p w14:paraId="3AA58D22"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50</w:t>
            </w:r>
          </w:p>
        </w:tc>
        <w:tc>
          <w:tcPr>
            <w:tcW w:w="970" w:type="dxa"/>
            <w:tcBorders>
              <w:top w:val="single" w:sz="4" w:space="0" w:color="auto"/>
            </w:tcBorders>
            <w:shd w:val="clear" w:color="auto" w:fill="auto"/>
            <w:noWrap/>
            <w:hideMark/>
          </w:tcPr>
          <w:p w14:paraId="7C2432C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19%</w:t>
            </w:r>
          </w:p>
        </w:tc>
        <w:tc>
          <w:tcPr>
            <w:tcW w:w="968" w:type="dxa"/>
            <w:tcBorders>
              <w:top w:val="single" w:sz="4" w:space="0" w:color="auto"/>
            </w:tcBorders>
            <w:shd w:val="clear" w:color="auto" w:fill="auto"/>
            <w:noWrap/>
            <w:hideMark/>
          </w:tcPr>
          <w:p w14:paraId="13BC1B6A"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132</w:t>
            </w:r>
          </w:p>
        </w:tc>
        <w:tc>
          <w:tcPr>
            <w:tcW w:w="970" w:type="dxa"/>
            <w:tcBorders>
              <w:top w:val="single" w:sz="4" w:space="0" w:color="auto"/>
            </w:tcBorders>
            <w:shd w:val="clear" w:color="auto" w:fill="auto"/>
            <w:noWrap/>
            <w:hideMark/>
          </w:tcPr>
          <w:p w14:paraId="32746A6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51%</w:t>
            </w:r>
          </w:p>
        </w:tc>
        <w:tc>
          <w:tcPr>
            <w:tcW w:w="968" w:type="dxa"/>
            <w:tcBorders>
              <w:top w:val="single" w:sz="4" w:space="0" w:color="auto"/>
            </w:tcBorders>
            <w:shd w:val="clear" w:color="auto" w:fill="auto"/>
            <w:noWrap/>
            <w:hideMark/>
          </w:tcPr>
          <w:p w14:paraId="3721DFE8"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182</w:t>
            </w:r>
          </w:p>
        </w:tc>
        <w:tc>
          <w:tcPr>
            <w:tcW w:w="970" w:type="dxa"/>
            <w:tcBorders>
              <w:top w:val="single" w:sz="4" w:space="0" w:color="auto"/>
            </w:tcBorders>
            <w:shd w:val="clear" w:color="auto" w:fill="auto"/>
            <w:noWrap/>
            <w:hideMark/>
          </w:tcPr>
          <w:p w14:paraId="2997AADD"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70%</w:t>
            </w:r>
          </w:p>
        </w:tc>
      </w:tr>
      <w:tr w:rsidR="000E13E2" w:rsidRPr="00EC2BCC" w14:paraId="1540005A"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40B8B700"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top w:val="nil"/>
              <w:bottom w:val="nil"/>
            </w:tcBorders>
            <w:shd w:val="clear" w:color="auto" w:fill="auto"/>
            <w:hideMark/>
          </w:tcPr>
          <w:p w14:paraId="09515392"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Male</w:t>
            </w:r>
          </w:p>
        </w:tc>
        <w:tc>
          <w:tcPr>
            <w:tcW w:w="968" w:type="dxa"/>
            <w:tcBorders>
              <w:bottom w:val="nil"/>
            </w:tcBorders>
            <w:shd w:val="clear" w:color="auto" w:fill="auto"/>
            <w:noWrap/>
            <w:hideMark/>
          </w:tcPr>
          <w:p w14:paraId="0FFFAFFB"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14</w:t>
            </w:r>
          </w:p>
        </w:tc>
        <w:tc>
          <w:tcPr>
            <w:tcW w:w="970" w:type="dxa"/>
            <w:tcBorders>
              <w:bottom w:val="nil"/>
            </w:tcBorders>
            <w:shd w:val="clear" w:color="auto" w:fill="auto"/>
            <w:noWrap/>
            <w:hideMark/>
          </w:tcPr>
          <w:p w14:paraId="5F0EDC8A"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w:t>
            </w:r>
          </w:p>
        </w:tc>
        <w:tc>
          <w:tcPr>
            <w:tcW w:w="968" w:type="dxa"/>
            <w:tcBorders>
              <w:bottom w:val="nil"/>
            </w:tcBorders>
            <w:shd w:val="clear" w:color="auto" w:fill="auto"/>
            <w:noWrap/>
            <w:hideMark/>
          </w:tcPr>
          <w:p w14:paraId="582F885A"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62</w:t>
            </w:r>
          </w:p>
        </w:tc>
        <w:tc>
          <w:tcPr>
            <w:tcW w:w="970" w:type="dxa"/>
            <w:tcBorders>
              <w:bottom w:val="nil"/>
            </w:tcBorders>
            <w:shd w:val="clear" w:color="auto" w:fill="auto"/>
            <w:noWrap/>
            <w:hideMark/>
          </w:tcPr>
          <w:p w14:paraId="328EC5F4"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24%</w:t>
            </w:r>
          </w:p>
        </w:tc>
        <w:tc>
          <w:tcPr>
            <w:tcW w:w="968" w:type="dxa"/>
            <w:tcBorders>
              <w:bottom w:val="nil"/>
            </w:tcBorders>
            <w:shd w:val="clear" w:color="auto" w:fill="auto"/>
            <w:noWrap/>
            <w:hideMark/>
          </w:tcPr>
          <w:p w14:paraId="2A4CF2A4"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78</w:t>
            </w:r>
          </w:p>
        </w:tc>
        <w:tc>
          <w:tcPr>
            <w:tcW w:w="970" w:type="dxa"/>
            <w:tcBorders>
              <w:bottom w:val="nil"/>
            </w:tcBorders>
            <w:shd w:val="clear" w:color="auto" w:fill="auto"/>
            <w:noWrap/>
            <w:hideMark/>
          </w:tcPr>
          <w:p w14:paraId="65053E9D"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30%</w:t>
            </w:r>
          </w:p>
        </w:tc>
      </w:tr>
      <w:tr w:rsidR="000E13E2" w:rsidRPr="00EC2BCC" w14:paraId="01390B96"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535A4513"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top w:val="nil"/>
              <w:bottom w:val="single" w:sz="4" w:space="0" w:color="auto"/>
            </w:tcBorders>
            <w:shd w:val="clear" w:color="auto" w:fill="auto"/>
            <w:hideMark/>
          </w:tcPr>
          <w:p w14:paraId="4918D593"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Sum</w:t>
            </w:r>
          </w:p>
        </w:tc>
        <w:tc>
          <w:tcPr>
            <w:tcW w:w="968" w:type="dxa"/>
            <w:tcBorders>
              <w:top w:val="nil"/>
              <w:bottom w:val="single" w:sz="4" w:space="0" w:color="auto"/>
            </w:tcBorders>
            <w:shd w:val="clear" w:color="auto" w:fill="auto"/>
            <w:noWrap/>
            <w:hideMark/>
          </w:tcPr>
          <w:p w14:paraId="58C642EA"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64</w:t>
            </w:r>
          </w:p>
        </w:tc>
        <w:tc>
          <w:tcPr>
            <w:tcW w:w="970" w:type="dxa"/>
            <w:tcBorders>
              <w:top w:val="nil"/>
              <w:bottom w:val="single" w:sz="4" w:space="0" w:color="auto"/>
            </w:tcBorders>
            <w:shd w:val="clear" w:color="auto" w:fill="auto"/>
            <w:noWrap/>
            <w:hideMark/>
          </w:tcPr>
          <w:p w14:paraId="4901F508"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25%</w:t>
            </w:r>
          </w:p>
        </w:tc>
        <w:tc>
          <w:tcPr>
            <w:tcW w:w="968" w:type="dxa"/>
            <w:tcBorders>
              <w:top w:val="nil"/>
              <w:bottom w:val="single" w:sz="4" w:space="0" w:color="auto"/>
            </w:tcBorders>
            <w:shd w:val="clear" w:color="auto" w:fill="auto"/>
            <w:noWrap/>
            <w:hideMark/>
          </w:tcPr>
          <w:p w14:paraId="6B220E9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196</w:t>
            </w:r>
          </w:p>
        </w:tc>
        <w:tc>
          <w:tcPr>
            <w:tcW w:w="970" w:type="dxa"/>
            <w:tcBorders>
              <w:top w:val="nil"/>
              <w:bottom w:val="single" w:sz="4" w:space="0" w:color="auto"/>
            </w:tcBorders>
            <w:shd w:val="clear" w:color="auto" w:fill="auto"/>
            <w:noWrap/>
            <w:hideMark/>
          </w:tcPr>
          <w:p w14:paraId="1495C8A4"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75%</w:t>
            </w:r>
          </w:p>
        </w:tc>
        <w:tc>
          <w:tcPr>
            <w:tcW w:w="968" w:type="dxa"/>
            <w:tcBorders>
              <w:top w:val="nil"/>
              <w:bottom w:val="single" w:sz="4" w:space="0" w:color="auto"/>
            </w:tcBorders>
            <w:shd w:val="clear" w:color="auto" w:fill="auto"/>
            <w:noWrap/>
            <w:hideMark/>
          </w:tcPr>
          <w:p w14:paraId="513EE7B6"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260</w:t>
            </w:r>
          </w:p>
        </w:tc>
        <w:tc>
          <w:tcPr>
            <w:tcW w:w="970" w:type="dxa"/>
            <w:tcBorders>
              <w:top w:val="nil"/>
              <w:bottom w:val="single" w:sz="4" w:space="0" w:color="auto"/>
            </w:tcBorders>
            <w:shd w:val="clear" w:color="auto" w:fill="auto"/>
            <w:noWrap/>
            <w:hideMark/>
          </w:tcPr>
          <w:p w14:paraId="754C0A6E"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100%</w:t>
            </w:r>
          </w:p>
        </w:tc>
      </w:tr>
      <w:tr w:rsidR="000E13E2" w:rsidRPr="00EC2BCC" w14:paraId="7A65E555"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val="restart"/>
            <w:tcBorders>
              <w:top w:val="single" w:sz="4" w:space="0" w:color="auto"/>
              <w:bottom w:val="single" w:sz="4" w:space="0" w:color="auto"/>
            </w:tcBorders>
            <w:shd w:val="clear" w:color="auto" w:fill="auto"/>
            <w:vAlign w:val="center"/>
            <w:hideMark/>
          </w:tcPr>
          <w:p w14:paraId="047E2315" w14:textId="77777777" w:rsidR="000E13E2" w:rsidRPr="00EC2BCC" w:rsidRDefault="000E13E2" w:rsidP="000E13E2">
            <w:pPr>
              <w:spacing w:line="360" w:lineRule="auto"/>
              <w:jc w:val="center"/>
              <w:rPr>
                <w:rFonts w:cs="Times New Roman"/>
                <w:bCs w:val="0"/>
                <w:color w:val="000000"/>
                <w:szCs w:val="20"/>
                <w:lang w:eastAsia="en-GB"/>
              </w:rPr>
            </w:pPr>
            <w:r w:rsidRPr="00EC2BCC">
              <w:rPr>
                <w:rFonts w:cs="Times New Roman"/>
                <w:bCs w:val="0"/>
                <w:color w:val="000000"/>
                <w:szCs w:val="20"/>
                <w:lang w:val="en" w:eastAsia="en-GB"/>
              </w:rPr>
              <w:t>Age</w:t>
            </w:r>
          </w:p>
        </w:tc>
        <w:tc>
          <w:tcPr>
            <w:tcW w:w="1405" w:type="dxa"/>
            <w:tcBorders>
              <w:top w:val="single" w:sz="4" w:space="0" w:color="auto"/>
            </w:tcBorders>
            <w:shd w:val="clear" w:color="auto" w:fill="auto"/>
            <w:hideMark/>
          </w:tcPr>
          <w:p w14:paraId="761488D6"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18-22</w:t>
            </w:r>
          </w:p>
        </w:tc>
        <w:tc>
          <w:tcPr>
            <w:tcW w:w="968" w:type="dxa"/>
            <w:tcBorders>
              <w:top w:val="single" w:sz="4" w:space="0" w:color="auto"/>
            </w:tcBorders>
            <w:shd w:val="clear" w:color="auto" w:fill="auto"/>
            <w:noWrap/>
            <w:hideMark/>
          </w:tcPr>
          <w:p w14:paraId="0CD26588"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w:t>
            </w:r>
          </w:p>
        </w:tc>
        <w:tc>
          <w:tcPr>
            <w:tcW w:w="970" w:type="dxa"/>
            <w:tcBorders>
              <w:top w:val="single" w:sz="4" w:space="0" w:color="auto"/>
            </w:tcBorders>
            <w:shd w:val="clear" w:color="auto" w:fill="auto"/>
            <w:noWrap/>
            <w:hideMark/>
          </w:tcPr>
          <w:p w14:paraId="7E8DBDC9"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w:t>
            </w:r>
          </w:p>
        </w:tc>
        <w:tc>
          <w:tcPr>
            <w:tcW w:w="968" w:type="dxa"/>
            <w:tcBorders>
              <w:top w:val="single" w:sz="4" w:space="0" w:color="auto"/>
            </w:tcBorders>
            <w:shd w:val="clear" w:color="auto" w:fill="auto"/>
            <w:noWrap/>
            <w:hideMark/>
          </w:tcPr>
          <w:p w14:paraId="1EB6CEBE"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23</w:t>
            </w:r>
          </w:p>
        </w:tc>
        <w:tc>
          <w:tcPr>
            <w:tcW w:w="970" w:type="dxa"/>
            <w:tcBorders>
              <w:top w:val="single" w:sz="4" w:space="0" w:color="auto"/>
            </w:tcBorders>
            <w:shd w:val="clear" w:color="auto" w:fill="auto"/>
            <w:noWrap/>
            <w:hideMark/>
          </w:tcPr>
          <w:p w14:paraId="66261920"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9%</w:t>
            </w:r>
          </w:p>
        </w:tc>
        <w:tc>
          <w:tcPr>
            <w:tcW w:w="968" w:type="dxa"/>
            <w:tcBorders>
              <w:top w:val="single" w:sz="4" w:space="0" w:color="auto"/>
            </w:tcBorders>
            <w:shd w:val="clear" w:color="auto" w:fill="auto"/>
            <w:noWrap/>
            <w:hideMark/>
          </w:tcPr>
          <w:p w14:paraId="5E9ED31D"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30</w:t>
            </w:r>
          </w:p>
        </w:tc>
        <w:tc>
          <w:tcPr>
            <w:tcW w:w="970" w:type="dxa"/>
            <w:tcBorders>
              <w:top w:val="single" w:sz="4" w:space="0" w:color="auto"/>
            </w:tcBorders>
            <w:shd w:val="clear" w:color="auto" w:fill="auto"/>
            <w:noWrap/>
            <w:hideMark/>
          </w:tcPr>
          <w:p w14:paraId="0E15EE5C"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12%</w:t>
            </w:r>
          </w:p>
        </w:tc>
      </w:tr>
      <w:tr w:rsidR="000E13E2" w:rsidRPr="00EC2BCC" w14:paraId="3D2899DB"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321BEAA3"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shd w:val="clear" w:color="auto" w:fill="auto"/>
            <w:hideMark/>
          </w:tcPr>
          <w:p w14:paraId="74053352"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23-27</w:t>
            </w:r>
          </w:p>
        </w:tc>
        <w:tc>
          <w:tcPr>
            <w:tcW w:w="968" w:type="dxa"/>
            <w:shd w:val="clear" w:color="auto" w:fill="auto"/>
            <w:noWrap/>
            <w:hideMark/>
          </w:tcPr>
          <w:p w14:paraId="068ED544"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26</w:t>
            </w:r>
          </w:p>
        </w:tc>
        <w:tc>
          <w:tcPr>
            <w:tcW w:w="970" w:type="dxa"/>
            <w:shd w:val="clear" w:color="auto" w:fill="auto"/>
            <w:noWrap/>
            <w:hideMark/>
          </w:tcPr>
          <w:p w14:paraId="30984A93"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10%</w:t>
            </w:r>
          </w:p>
        </w:tc>
        <w:tc>
          <w:tcPr>
            <w:tcW w:w="968" w:type="dxa"/>
            <w:shd w:val="clear" w:color="auto" w:fill="auto"/>
            <w:noWrap/>
            <w:hideMark/>
          </w:tcPr>
          <w:p w14:paraId="5D71BE12"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62</w:t>
            </w:r>
          </w:p>
        </w:tc>
        <w:tc>
          <w:tcPr>
            <w:tcW w:w="970" w:type="dxa"/>
            <w:shd w:val="clear" w:color="auto" w:fill="auto"/>
            <w:noWrap/>
            <w:hideMark/>
          </w:tcPr>
          <w:p w14:paraId="6F959C1E"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24%</w:t>
            </w:r>
          </w:p>
        </w:tc>
        <w:tc>
          <w:tcPr>
            <w:tcW w:w="968" w:type="dxa"/>
            <w:shd w:val="clear" w:color="auto" w:fill="auto"/>
            <w:noWrap/>
            <w:hideMark/>
          </w:tcPr>
          <w:p w14:paraId="59931419"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88</w:t>
            </w:r>
          </w:p>
        </w:tc>
        <w:tc>
          <w:tcPr>
            <w:tcW w:w="970" w:type="dxa"/>
            <w:shd w:val="clear" w:color="auto" w:fill="auto"/>
            <w:noWrap/>
            <w:hideMark/>
          </w:tcPr>
          <w:p w14:paraId="7A76DDD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34%</w:t>
            </w:r>
          </w:p>
        </w:tc>
      </w:tr>
      <w:tr w:rsidR="000E13E2" w:rsidRPr="00EC2BCC" w14:paraId="09B560FB"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59A334DB"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shd w:val="clear" w:color="auto" w:fill="auto"/>
            <w:hideMark/>
          </w:tcPr>
          <w:p w14:paraId="652FAEA4"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28-32</w:t>
            </w:r>
          </w:p>
        </w:tc>
        <w:tc>
          <w:tcPr>
            <w:tcW w:w="968" w:type="dxa"/>
            <w:shd w:val="clear" w:color="auto" w:fill="auto"/>
            <w:noWrap/>
            <w:hideMark/>
          </w:tcPr>
          <w:p w14:paraId="714BB7CC"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12</w:t>
            </w:r>
          </w:p>
        </w:tc>
        <w:tc>
          <w:tcPr>
            <w:tcW w:w="970" w:type="dxa"/>
            <w:shd w:val="clear" w:color="auto" w:fill="auto"/>
            <w:noWrap/>
            <w:hideMark/>
          </w:tcPr>
          <w:p w14:paraId="00D6EE5F"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w:t>
            </w:r>
          </w:p>
        </w:tc>
        <w:tc>
          <w:tcPr>
            <w:tcW w:w="968" w:type="dxa"/>
            <w:shd w:val="clear" w:color="auto" w:fill="auto"/>
            <w:noWrap/>
            <w:hideMark/>
          </w:tcPr>
          <w:p w14:paraId="50835D25"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41</w:t>
            </w:r>
          </w:p>
        </w:tc>
        <w:tc>
          <w:tcPr>
            <w:tcW w:w="970" w:type="dxa"/>
            <w:shd w:val="clear" w:color="auto" w:fill="auto"/>
            <w:noWrap/>
            <w:hideMark/>
          </w:tcPr>
          <w:p w14:paraId="5A993BD8"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16%</w:t>
            </w:r>
          </w:p>
        </w:tc>
        <w:tc>
          <w:tcPr>
            <w:tcW w:w="968" w:type="dxa"/>
            <w:shd w:val="clear" w:color="auto" w:fill="auto"/>
            <w:noWrap/>
            <w:hideMark/>
          </w:tcPr>
          <w:p w14:paraId="4399A5E2"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53</w:t>
            </w:r>
          </w:p>
        </w:tc>
        <w:tc>
          <w:tcPr>
            <w:tcW w:w="970" w:type="dxa"/>
            <w:shd w:val="clear" w:color="auto" w:fill="auto"/>
            <w:noWrap/>
            <w:hideMark/>
          </w:tcPr>
          <w:p w14:paraId="787DB5D3"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20%</w:t>
            </w:r>
          </w:p>
        </w:tc>
      </w:tr>
      <w:tr w:rsidR="000E13E2" w:rsidRPr="00EC2BCC" w14:paraId="7C2225BD"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0E56444B"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shd w:val="clear" w:color="auto" w:fill="auto"/>
            <w:hideMark/>
          </w:tcPr>
          <w:p w14:paraId="1E86B32F"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33-37</w:t>
            </w:r>
          </w:p>
        </w:tc>
        <w:tc>
          <w:tcPr>
            <w:tcW w:w="968" w:type="dxa"/>
            <w:shd w:val="clear" w:color="auto" w:fill="auto"/>
            <w:noWrap/>
            <w:hideMark/>
          </w:tcPr>
          <w:p w14:paraId="3094E5EC"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w:t>
            </w:r>
          </w:p>
        </w:tc>
        <w:tc>
          <w:tcPr>
            <w:tcW w:w="970" w:type="dxa"/>
            <w:shd w:val="clear" w:color="auto" w:fill="auto"/>
            <w:noWrap/>
            <w:hideMark/>
          </w:tcPr>
          <w:p w14:paraId="5B454C06"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w:t>
            </w:r>
          </w:p>
        </w:tc>
        <w:tc>
          <w:tcPr>
            <w:tcW w:w="968" w:type="dxa"/>
            <w:shd w:val="clear" w:color="auto" w:fill="auto"/>
            <w:noWrap/>
            <w:hideMark/>
          </w:tcPr>
          <w:p w14:paraId="0C82725A"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30</w:t>
            </w:r>
          </w:p>
        </w:tc>
        <w:tc>
          <w:tcPr>
            <w:tcW w:w="970" w:type="dxa"/>
            <w:shd w:val="clear" w:color="auto" w:fill="auto"/>
            <w:noWrap/>
            <w:hideMark/>
          </w:tcPr>
          <w:p w14:paraId="036996F4"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12%</w:t>
            </w:r>
          </w:p>
        </w:tc>
        <w:tc>
          <w:tcPr>
            <w:tcW w:w="968" w:type="dxa"/>
            <w:shd w:val="clear" w:color="auto" w:fill="auto"/>
            <w:noWrap/>
            <w:hideMark/>
          </w:tcPr>
          <w:p w14:paraId="04D0C139"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37</w:t>
            </w:r>
          </w:p>
        </w:tc>
        <w:tc>
          <w:tcPr>
            <w:tcW w:w="970" w:type="dxa"/>
            <w:shd w:val="clear" w:color="auto" w:fill="auto"/>
            <w:noWrap/>
            <w:hideMark/>
          </w:tcPr>
          <w:p w14:paraId="57914C1F"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14%</w:t>
            </w:r>
          </w:p>
        </w:tc>
      </w:tr>
      <w:tr w:rsidR="000E13E2" w:rsidRPr="00EC2BCC" w14:paraId="39D8E42D"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450EB3C1"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shd w:val="clear" w:color="auto" w:fill="auto"/>
            <w:hideMark/>
          </w:tcPr>
          <w:p w14:paraId="6012C2C3"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38-42</w:t>
            </w:r>
          </w:p>
        </w:tc>
        <w:tc>
          <w:tcPr>
            <w:tcW w:w="968" w:type="dxa"/>
            <w:shd w:val="clear" w:color="auto" w:fill="auto"/>
            <w:noWrap/>
            <w:hideMark/>
          </w:tcPr>
          <w:p w14:paraId="4AC68FE7"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8</w:t>
            </w:r>
          </w:p>
        </w:tc>
        <w:tc>
          <w:tcPr>
            <w:tcW w:w="970" w:type="dxa"/>
            <w:shd w:val="clear" w:color="auto" w:fill="auto"/>
            <w:noWrap/>
            <w:hideMark/>
          </w:tcPr>
          <w:p w14:paraId="3E8B5B52"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w:t>
            </w:r>
          </w:p>
        </w:tc>
        <w:tc>
          <w:tcPr>
            <w:tcW w:w="968" w:type="dxa"/>
            <w:shd w:val="clear" w:color="auto" w:fill="auto"/>
            <w:noWrap/>
            <w:hideMark/>
          </w:tcPr>
          <w:p w14:paraId="033B40CB"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18</w:t>
            </w:r>
          </w:p>
        </w:tc>
        <w:tc>
          <w:tcPr>
            <w:tcW w:w="970" w:type="dxa"/>
            <w:shd w:val="clear" w:color="auto" w:fill="auto"/>
            <w:noWrap/>
            <w:hideMark/>
          </w:tcPr>
          <w:p w14:paraId="133163B8"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w:t>
            </w:r>
          </w:p>
        </w:tc>
        <w:tc>
          <w:tcPr>
            <w:tcW w:w="968" w:type="dxa"/>
            <w:shd w:val="clear" w:color="auto" w:fill="auto"/>
            <w:noWrap/>
            <w:hideMark/>
          </w:tcPr>
          <w:p w14:paraId="68CB579F"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26</w:t>
            </w:r>
          </w:p>
        </w:tc>
        <w:tc>
          <w:tcPr>
            <w:tcW w:w="970" w:type="dxa"/>
            <w:shd w:val="clear" w:color="auto" w:fill="auto"/>
            <w:noWrap/>
            <w:hideMark/>
          </w:tcPr>
          <w:p w14:paraId="5BED4E12"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10%</w:t>
            </w:r>
          </w:p>
        </w:tc>
      </w:tr>
      <w:tr w:rsidR="000E13E2" w:rsidRPr="00EC2BCC" w14:paraId="1ED9C79B"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50B671CE"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bottom w:val="nil"/>
            </w:tcBorders>
            <w:shd w:val="clear" w:color="auto" w:fill="auto"/>
            <w:hideMark/>
          </w:tcPr>
          <w:p w14:paraId="0238D56A"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42+</w:t>
            </w:r>
          </w:p>
        </w:tc>
        <w:tc>
          <w:tcPr>
            <w:tcW w:w="968" w:type="dxa"/>
            <w:tcBorders>
              <w:bottom w:val="nil"/>
            </w:tcBorders>
            <w:shd w:val="clear" w:color="auto" w:fill="auto"/>
            <w:noWrap/>
            <w:hideMark/>
          </w:tcPr>
          <w:p w14:paraId="595FF45C"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4</w:t>
            </w:r>
          </w:p>
        </w:tc>
        <w:tc>
          <w:tcPr>
            <w:tcW w:w="970" w:type="dxa"/>
            <w:tcBorders>
              <w:bottom w:val="nil"/>
            </w:tcBorders>
            <w:shd w:val="clear" w:color="auto" w:fill="auto"/>
            <w:noWrap/>
            <w:hideMark/>
          </w:tcPr>
          <w:p w14:paraId="512E57BF"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w:t>
            </w:r>
          </w:p>
        </w:tc>
        <w:tc>
          <w:tcPr>
            <w:tcW w:w="968" w:type="dxa"/>
            <w:tcBorders>
              <w:bottom w:val="nil"/>
            </w:tcBorders>
            <w:shd w:val="clear" w:color="auto" w:fill="auto"/>
            <w:noWrap/>
            <w:hideMark/>
          </w:tcPr>
          <w:p w14:paraId="79E9218F"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12</w:t>
            </w:r>
          </w:p>
        </w:tc>
        <w:tc>
          <w:tcPr>
            <w:tcW w:w="970" w:type="dxa"/>
            <w:tcBorders>
              <w:bottom w:val="nil"/>
            </w:tcBorders>
            <w:shd w:val="clear" w:color="auto" w:fill="auto"/>
            <w:noWrap/>
            <w:hideMark/>
          </w:tcPr>
          <w:p w14:paraId="7FB96FB8"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w:t>
            </w:r>
          </w:p>
        </w:tc>
        <w:tc>
          <w:tcPr>
            <w:tcW w:w="968" w:type="dxa"/>
            <w:tcBorders>
              <w:bottom w:val="nil"/>
            </w:tcBorders>
            <w:shd w:val="clear" w:color="auto" w:fill="auto"/>
            <w:noWrap/>
            <w:hideMark/>
          </w:tcPr>
          <w:p w14:paraId="07FFE0F4"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16</w:t>
            </w:r>
          </w:p>
        </w:tc>
        <w:tc>
          <w:tcPr>
            <w:tcW w:w="970" w:type="dxa"/>
            <w:tcBorders>
              <w:bottom w:val="nil"/>
            </w:tcBorders>
            <w:shd w:val="clear" w:color="auto" w:fill="auto"/>
            <w:noWrap/>
            <w:hideMark/>
          </w:tcPr>
          <w:p w14:paraId="7E65B4E6"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w:t>
            </w:r>
          </w:p>
        </w:tc>
      </w:tr>
      <w:tr w:rsidR="000E13E2" w:rsidRPr="00EC2BCC" w14:paraId="5FD9F684"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23CB35F0"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top w:val="nil"/>
              <w:bottom w:val="single" w:sz="4" w:space="0" w:color="auto"/>
            </w:tcBorders>
            <w:shd w:val="clear" w:color="auto" w:fill="auto"/>
            <w:hideMark/>
          </w:tcPr>
          <w:p w14:paraId="45E10D9B"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Sum</w:t>
            </w:r>
          </w:p>
        </w:tc>
        <w:tc>
          <w:tcPr>
            <w:tcW w:w="968" w:type="dxa"/>
            <w:tcBorders>
              <w:top w:val="nil"/>
              <w:bottom w:val="single" w:sz="4" w:space="0" w:color="auto"/>
            </w:tcBorders>
            <w:shd w:val="clear" w:color="auto" w:fill="auto"/>
            <w:noWrap/>
            <w:hideMark/>
          </w:tcPr>
          <w:p w14:paraId="65D3CFD8"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64</w:t>
            </w:r>
          </w:p>
        </w:tc>
        <w:tc>
          <w:tcPr>
            <w:tcW w:w="970" w:type="dxa"/>
            <w:tcBorders>
              <w:top w:val="nil"/>
              <w:bottom w:val="single" w:sz="4" w:space="0" w:color="auto"/>
            </w:tcBorders>
            <w:shd w:val="clear" w:color="auto" w:fill="auto"/>
            <w:noWrap/>
            <w:hideMark/>
          </w:tcPr>
          <w:p w14:paraId="09D977D3"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25%</w:t>
            </w:r>
          </w:p>
        </w:tc>
        <w:tc>
          <w:tcPr>
            <w:tcW w:w="968" w:type="dxa"/>
            <w:tcBorders>
              <w:top w:val="nil"/>
              <w:bottom w:val="single" w:sz="4" w:space="0" w:color="auto"/>
            </w:tcBorders>
            <w:shd w:val="clear" w:color="auto" w:fill="auto"/>
            <w:noWrap/>
            <w:hideMark/>
          </w:tcPr>
          <w:p w14:paraId="76D691C5"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186</w:t>
            </w:r>
          </w:p>
        </w:tc>
        <w:tc>
          <w:tcPr>
            <w:tcW w:w="970" w:type="dxa"/>
            <w:tcBorders>
              <w:top w:val="nil"/>
              <w:bottom w:val="single" w:sz="4" w:space="0" w:color="auto"/>
            </w:tcBorders>
            <w:shd w:val="clear" w:color="auto" w:fill="auto"/>
            <w:noWrap/>
            <w:hideMark/>
          </w:tcPr>
          <w:p w14:paraId="20A334A5"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72%</w:t>
            </w:r>
          </w:p>
        </w:tc>
        <w:tc>
          <w:tcPr>
            <w:tcW w:w="968" w:type="dxa"/>
            <w:tcBorders>
              <w:top w:val="nil"/>
              <w:bottom w:val="single" w:sz="4" w:space="0" w:color="auto"/>
            </w:tcBorders>
            <w:shd w:val="clear" w:color="auto" w:fill="auto"/>
            <w:noWrap/>
            <w:hideMark/>
          </w:tcPr>
          <w:p w14:paraId="30275E02"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250</w:t>
            </w:r>
          </w:p>
        </w:tc>
        <w:tc>
          <w:tcPr>
            <w:tcW w:w="970" w:type="dxa"/>
            <w:tcBorders>
              <w:top w:val="nil"/>
              <w:bottom w:val="single" w:sz="4" w:space="0" w:color="auto"/>
            </w:tcBorders>
            <w:shd w:val="clear" w:color="auto" w:fill="auto"/>
            <w:noWrap/>
            <w:hideMark/>
          </w:tcPr>
          <w:p w14:paraId="714E31D0"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96%</w:t>
            </w:r>
          </w:p>
        </w:tc>
      </w:tr>
      <w:tr w:rsidR="000E13E2" w:rsidRPr="00EC2BCC" w14:paraId="334AFBDC"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val="restart"/>
            <w:tcBorders>
              <w:top w:val="single" w:sz="4" w:space="0" w:color="auto"/>
              <w:bottom w:val="single" w:sz="4" w:space="0" w:color="auto"/>
            </w:tcBorders>
            <w:shd w:val="clear" w:color="auto" w:fill="auto"/>
            <w:vAlign w:val="center"/>
            <w:hideMark/>
          </w:tcPr>
          <w:p w14:paraId="47D30CD4" w14:textId="77777777" w:rsidR="000E13E2" w:rsidRPr="00EC2BCC" w:rsidRDefault="000E13E2" w:rsidP="000E13E2">
            <w:pPr>
              <w:spacing w:line="360" w:lineRule="auto"/>
              <w:rPr>
                <w:rFonts w:cs="Times New Roman"/>
                <w:bCs w:val="0"/>
                <w:color w:val="000000"/>
                <w:szCs w:val="20"/>
                <w:lang w:eastAsia="en-GB"/>
              </w:rPr>
            </w:pPr>
            <w:r w:rsidRPr="00EC2BCC">
              <w:rPr>
                <w:rFonts w:cs="Times New Roman"/>
                <w:bCs w:val="0"/>
                <w:color w:val="000000"/>
                <w:szCs w:val="20"/>
                <w:lang w:val="en" w:eastAsia="en-GB"/>
              </w:rPr>
              <w:t>Education status</w:t>
            </w:r>
          </w:p>
        </w:tc>
        <w:tc>
          <w:tcPr>
            <w:tcW w:w="1405" w:type="dxa"/>
            <w:tcBorders>
              <w:top w:val="single" w:sz="4" w:space="0" w:color="auto"/>
            </w:tcBorders>
            <w:shd w:val="clear" w:color="auto" w:fill="auto"/>
            <w:hideMark/>
          </w:tcPr>
          <w:p w14:paraId="06A009EB"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Undergraduate</w:t>
            </w:r>
          </w:p>
        </w:tc>
        <w:tc>
          <w:tcPr>
            <w:tcW w:w="968" w:type="dxa"/>
            <w:tcBorders>
              <w:top w:val="single" w:sz="4" w:space="0" w:color="auto"/>
            </w:tcBorders>
            <w:shd w:val="clear" w:color="auto" w:fill="auto"/>
            <w:noWrap/>
            <w:hideMark/>
          </w:tcPr>
          <w:p w14:paraId="44A93B3C"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33</w:t>
            </w:r>
          </w:p>
        </w:tc>
        <w:tc>
          <w:tcPr>
            <w:tcW w:w="970" w:type="dxa"/>
            <w:tcBorders>
              <w:top w:val="single" w:sz="4" w:space="0" w:color="auto"/>
            </w:tcBorders>
            <w:shd w:val="clear" w:color="auto" w:fill="auto"/>
            <w:noWrap/>
            <w:hideMark/>
          </w:tcPr>
          <w:p w14:paraId="2B5255D9"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13%</w:t>
            </w:r>
          </w:p>
        </w:tc>
        <w:tc>
          <w:tcPr>
            <w:tcW w:w="968" w:type="dxa"/>
            <w:tcBorders>
              <w:top w:val="single" w:sz="4" w:space="0" w:color="auto"/>
            </w:tcBorders>
            <w:shd w:val="clear" w:color="auto" w:fill="auto"/>
            <w:noWrap/>
            <w:hideMark/>
          </w:tcPr>
          <w:p w14:paraId="10B432A3"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161</w:t>
            </w:r>
          </w:p>
        </w:tc>
        <w:tc>
          <w:tcPr>
            <w:tcW w:w="970" w:type="dxa"/>
            <w:tcBorders>
              <w:top w:val="single" w:sz="4" w:space="0" w:color="auto"/>
            </w:tcBorders>
            <w:shd w:val="clear" w:color="auto" w:fill="auto"/>
            <w:noWrap/>
            <w:hideMark/>
          </w:tcPr>
          <w:p w14:paraId="6C0751A8"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62%</w:t>
            </w:r>
          </w:p>
        </w:tc>
        <w:tc>
          <w:tcPr>
            <w:tcW w:w="968" w:type="dxa"/>
            <w:tcBorders>
              <w:top w:val="single" w:sz="4" w:space="0" w:color="auto"/>
            </w:tcBorders>
            <w:shd w:val="clear" w:color="auto" w:fill="auto"/>
            <w:noWrap/>
            <w:hideMark/>
          </w:tcPr>
          <w:p w14:paraId="6FD48DF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194</w:t>
            </w:r>
          </w:p>
        </w:tc>
        <w:tc>
          <w:tcPr>
            <w:tcW w:w="970" w:type="dxa"/>
            <w:tcBorders>
              <w:top w:val="single" w:sz="4" w:space="0" w:color="auto"/>
            </w:tcBorders>
            <w:shd w:val="clear" w:color="auto" w:fill="auto"/>
            <w:noWrap/>
            <w:hideMark/>
          </w:tcPr>
          <w:p w14:paraId="485656C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75%</w:t>
            </w:r>
          </w:p>
        </w:tc>
      </w:tr>
      <w:tr w:rsidR="000E13E2" w:rsidRPr="00EC2BCC" w14:paraId="19D9DF7A"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5EAD0747"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bottom w:val="nil"/>
            </w:tcBorders>
            <w:shd w:val="clear" w:color="auto" w:fill="auto"/>
            <w:hideMark/>
          </w:tcPr>
          <w:p w14:paraId="2EFD1F43"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212121"/>
                <w:szCs w:val="20"/>
                <w:shd w:val="clear" w:color="auto" w:fill="FFFFFF"/>
              </w:rPr>
              <w:t>Graduate</w:t>
            </w:r>
            <w:r w:rsidRPr="00EC2BCC">
              <w:rPr>
                <w:rFonts w:cs="Times New Roman"/>
                <w:color w:val="000000"/>
                <w:szCs w:val="20"/>
                <w:lang w:val="en" w:eastAsia="en-GB"/>
              </w:rPr>
              <w:t xml:space="preserve"> </w:t>
            </w:r>
            <w:proofErr w:type="spellStart"/>
            <w:r w:rsidRPr="00EC2BCC">
              <w:rPr>
                <w:rFonts w:cs="Times New Roman"/>
                <w:color w:val="000000"/>
                <w:szCs w:val="20"/>
                <w:lang w:val="en" w:eastAsia="en-GB"/>
              </w:rPr>
              <w:t>isansin</w:t>
            </w:r>
            <w:proofErr w:type="spellEnd"/>
          </w:p>
        </w:tc>
        <w:tc>
          <w:tcPr>
            <w:tcW w:w="968" w:type="dxa"/>
            <w:tcBorders>
              <w:bottom w:val="nil"/>
            </w:tcBorders>
            <w:shd w:val="clear" w:color="auto" w:fill="auto"/>
            <w:noWrap/>
            <w:hideMark/>
          </w:tcPr>
          <w:p w14:paraId="3FA51978"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31</w:t>
            </w:r>
          </w:p>
        </w:tc>
        <w:tc>
          <w:tcPr>
            <w:tcW w:w="970" w:type="dxa"/>
            <w:tcBorders>
              <w:bottom w:val="nil"/>
            </w:tcBorders>
            <w:shd w:val="clear" w:color="auto" w:fill="auto"/>
            <w:noWrap/>
            <w:hideMark/>
          </w:tcPr>
          <w:p w14:paraId="3BCED90D"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12%</w:t>
            </w:r>
          </w:p>
        </w:tc>
        <w:tc>
          <w:tcPr>
            <w:tcW w:w="968" w:type="dxa"/>
            <w:tcBorders>
              <w:bottom w:val="nil"/>
            </w:tcBorders>
            <w:shd w:val="clear" w:color="auto" w:fill="auto"/>
            <w:noWrap/>
            <w:hideMark/>
          </w:tcPr>
          <w:p w14:paraId="09699401"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35</w:t>
            </w:r>
          </w:p>
        </w:tc>
        <w:tc>
          <w:tcPr>
            <w:tcW w:w="970" w:type="dxa"/>
            <w:tcBorders>
              <w:bottom w:val="nil"/>
            </w:tcBorders>
            <w:shd w:val="clear" w:color="auto" w:fill="auto"/>
            <w:noWrap/>
            <w:hideMark/>
          </w:tcPr>
          <w:p w14:paraId="325F9A65"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13%</w:t>
            </w:r>
          </w:p>
        </w:tc>
        <w:tc>
          <w:tcPr>
            <w:tcW w:w="968" w:type="dxa"/>
            <w:tcBorders>
              <w:bottom w:val="nil"/>
            </w:tcBorders>
            <w:shd w:val="clear" w:color="auto" w:fill="auto"/>
            <w:noWrap/>
            <w:hideMark/>
          </w:tcPr>
          <w:p w14:paraId="18B2D8BB"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66</w:t>
            </w:r>
          </w:p>
        </w:tc>
        <w:tc>
          <w:tcPr>
            <w:tcW w:w="970" w:type="dxa"/>
            <w:tcBorders>
              <w:bottom w:val="nil"/>
            </w:tcBorders>
            <w:shd w:val="clear" w:color="auto" w:fill="auto"/>
            <w:noWrap/>
            <w:hideMark/>
          </w:tcPr>
          <w:p w14:paraId="20312EB7"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25%</w:t>
            </w:r>
          </w:p>
        </w:tc>
      </w:tr>
      <w:tr w:rsidR="000E13E2" w:rsidRPr="00EC2BCC" w14:paraId="24D6B5AF"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tcBorders>
              <w:top w:val="nil"/>
              <w:bottom w:val="single" w:sz="4" w:space="0" w:color="auto"/>
            </w:tcBorders>
            <w:shd w:val="clear" w:color="auto" w:fill="auto"/>
            <w:vAlign w:val="center"/>
            <w:hideMark/>
          </w:tcPr>
          <w:p w14:paraId="565EF940" w14:textId="77777777" w:rsidR="000E13E2" w:rsidRPr="00EC2BCC" w:rsidRDefault="000E13E2" w:rsidP="000E13E2">
            <w:pPr>
              <w:spacing w:line="360" w:lineRule="auto"/>
              <w:jc w:val="center"/>
              <w:rPr>
                <w:rFonts w:cs="Times New Roman"/>
                <w:b w:val="0"/>
                <w:bCs w:val="0"/>
                <w:color w:val="000000"/>
                <w:szCs w:val="20"/>
                <w:lang w:eastAsia="en-GB"/>
              </w:rPr>
            </w:pPr>
          </w:p>
        </w:tc>
        <w:tc>
          <w:tcPr>
            <w:tcW w:w="1405" w:type="dxa"/>
            <w:tcBorders>
              <w:top w:val="nil"/>
              <w:bottom w:val="single" w:sz="4" w:space="0" w:color="auto"/>
            </w:tcBorders>
            <w:shd w:val="clear" w:color="auto" w:fill="auto"/>
            <w:hideMark/>
          </w:tcPr>
          <w:p w14:paraId="148CF35B"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eastAsia="en-GB"/>
              </w:rPr>
              <w:t>Sum</w:t>
            </w:r>
          </w:p>
        </w:tc>
        <w:tc>
          <w:tcPr>
            <w:tcW w:w="968" w:type="dxa"/>
            <w:tcBorders>
              <w:top w:val="nil"/>
              <w:bottom w:val="single" w:sz="4" w:space="0" w:color="auto"/>
            </w:tcBorders>
            <w:shd w:val="clear" w:color="auto" w:fill="auto"/>
            <w:noWrap/>
            <w:hideMark/>
          </w:tcPr>
          <w:p w14:paraId="7E609B22"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64</w:t>
            </w:r>
          </w:p>
        </w:tc>
        <w:tc>
          <w:tcPr>
            <w:tcW w:w="970" w:type="dxa"/>
            <w:tcBorders>
              <w:top w:val="nil"/>
              <w:bottom w:val="single" w:sz="4" w:space="0" w:color="auto"/>
            </w:tcBorders>
            <w:shd w:val="clear" w:color="auto" w:fill="auto"/>
            <w:noWrap/>
            <w:hideMark/>
          </w:tcPr>
          <w:p w14:paraId="5B2C6694"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25%</w:t>
            </w:r>
          </w:p>
        </w:tc>
        <w:tc>
          <w:tcPr>
            <w:tcW w:w="968" w:type="dxa"/>
            <w:tcBorders>
              <w:top w:val="nil"/>
              <w:bottom w:val="single" w:sz="4" w:space="0" w:color="auto"/>
            </w:tcBorders>
            <w:shd w:val="clear" w:color="auto" w:fill="auto"/>
            <w:noWrap/>
            <w:hideMark/>
          </w:tcPr>
          <w:p w14:paraId="516825F0"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196</w:t>
            </w:r>
          </w:p>
        </w:tc>
        <w:tc>
          <w:tcPr>
            <w:tcW w:w="970" w:type="dxa"/>
            <w:tcBorders>
              <w:top w:val="nil"/>
              <w:bottom w:val="single" w:sz="4" w:space="0" w:color="auto"/>
            </w:tcBorders>
            <w:shd w:val="clear" w:color="auto" w:fill="auto"/>
            <w:noWrap/>
            <w:hideMark/>
          </w:tcPr>
          <w:p w14:paraId="238450CA"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75%</w:t>
            </w:r>
          </w:p>
        </w:tc>
        <w:tc>
          <w:tcPr>
            <w:tcW w:w="968" w:type="dxa"/>
            <w:tcBorders>
              <w:top w:val="nil"/>
              <w:bottom w:val="single" w:sz="4" w:space="0" w:color="auto"/>
            </w:tcBorders>
            <w:shd w:val="clear" w:color="auto" w:fill="auto"/>
            <w:noWrap/>
            <w:hideMark/>
          </w:tcPr>
          <w:p w14:paraId="261C1EBD"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260</w:t>
            </w:r>
          </w:p>
        </w:tc>
        <w:tc>
          <w:tcPr>
            <w:tcW w:w="970" w:type="dxa"/>
            <w:tcBorders>
              <w:top w:val="nil"/>
              <w:bottom w:val="single" w:sz="4" w:space="0" w:color="auto"/>
            </w:tcBorders>
            <w:shd w:val="clear" w:color="auto" w:fill="auto"/>
            <w:noWrap/>
            <w:hideMark/>
          </w:tcPr>
          <w:p w14:paraId="1FD40BD5"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100%</w:t>
            </w:r>
          </w:p>
        </w:tc>
      </w:tr>
      <w:tr w:rsidR="000E13E2" w:rsidRPr="00EC2BCC" w14:paraId="13546FCB"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val="restart"/>
            <w:tcBorders>
              <w:top w:val="single" w:sz="4" w:space="0" w:color="auto"/>
            </w:tcBorders>
            <w:shd w:val="clear" w:color="auto" w:fill="auto"/>
            <w:vAlign w:val="center"/>
            <w:hideMark/>
          </w:tcPr>
          <w:p w14:paraId="5C04C31A" w14:textId="77777777" w:rsidR="000E13E2" w:rsidRPr="00EC2BCC" w:rsidRDefault="000E13E2" w:rsidP="000E13E2">
            <w:pPr>
              <w:spacing w:line="360" w:lineRule="auto"/>
              <w:rPr>
                <w:rFonts w:cs="Times New Roman"/>
                <w:bCs w:val="0"/>
                <w:color w:val="000000"/>
                <w:szCs w:val="20"/>
                <w:lang w:eastAsia="en-GB"/>
              </w:rPr>
            </w:pPr>
            <w:r w:rsidRPr="00EC2BCC">
              <w:rPr>
                <w:rFonts w:cs="Times New Roman"/>
                <w:bCs w:val="0"/>
                <w:color w:val="000000"/>
                <w:szCs w:val="20"/>
                <w:lang w:val="en" w:eastAsia="en-GB"/>
              </w:rPr>
              <w:t>Perception of success</w:t>
            </w:r>
          </w:p>
        </w:tc>
        <w:tc>
          <w:tcPr>
            <w:tcW w:w="1405" w:type="dxa"/>
            <w:tcBorders>
              <w:top w:val="single" w:sz="4" w:space="0" w:color="auto"/>
            </w:tcBorders>
            <w:shd w:val="clear" w:color="auto" w:fill="auto"/>
            <w:hideMark/>
          </w:tcPr>
          <w:p w14:paraId="3DBDB60E"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Yes</w:t>
            </w:r>
          </w:p>
        </w:tc>
        <w:tc>
          <w:tcPr>
            <w:tcW w:w="968" w:type="dxa"/>
            <w:tcBorders>
              <w:top w:val="single" w:sz="4" w:space="0" w:color="auto"/>
            </w:tcBorders>
            <w:shd w:val="clear" w:color="auto" w:fill="auto"/>
            <w:noWrap/>
            <w:hideMark/>
          </w:tcPr>
          <w:p w14:paraId="31FE095C"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39</w:t>
            </w:r>
          </w:p>
        </w:tc>
        <w:tc>
          <w:tcPr>
            <w:tcW w:w="970" w:type="dxa"/>
            <w:tcBorders>
              <w:top w:val="single" w:sz="4" w:space="0" w:color="auto"/>
            </w:tcBorders>
            <w:shd w:val="clear" w:color="auto" w:fill="auto"/>
            <w:noWrap/>
            <w:hideMark/>
          </w:tcPr>
          <w:p w14:paraId="79B9D2D4"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15%</w:t>
            </w:r>
          </w:p>
        </w:tc>
        <w:tc>
          <w:tcPr>
            <w:tcW w:w="968" w:type="dxa"/>
            <w:tcBorders>
              <w:top w:val="single" w:sz="4" w:space="0" w:color="auto"/>
            </w:tcBorders>
            <w:shd w:val="clear" w:color="auto" w:fill="auto"/>
            <w:noWrap/>
            <w:hideMark/>
          </w:tcPr>
          <w:p w14:paraId="68DA08FF"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100</w:t>
            </w:r>
          </w:p>
        </w:tc>
        <w:tc>
          <w:tcPr>
            <w:tcW w:w="970" w:type="dxa"/>
            <w:tcBorders>
              <w:top w:val="single" w:sz="4" w:space="0" w:color="auto"/>
            </w:tcBorders>
            <w:shd w:val="clear" w:color="auto" w:fill="auto"/>
            <w:noWrap/>
            <w:hideMark/>
          </w:tcPr>
          <w:p w14:paraId="0F9813C1"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38%</w:t>
            </w:r>
          </w:p>
        </w:tc>
        <w:tc>
          <w:tcPr>
            <w:tcW w:w="968" w:type="dxa"/>
            <w:tcBorders>
              <w:top w:val="single" w:sz="4" w:space="0" w:color="auto"/>
            </w:tcBorders>
            <w:shd w:val="clear" w:color="auto" w:fill="auto"/>
            <w:noWrap/>
            <w:hideMark/>
          </w:tcPr>
          <w:p w14:paraId="583A82EB"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139</w:t>
            </w:r>
          </w:p>
        </w:tc>
        <w:tc>
          <w:tcPr>
            <w:tcW w:w="970" w:type="dxa"/>
            <w:tcBorders>
              <w:top w:val="single" w:sz="4" w:space="0" w:color="auto"/>
            </w:tcBorders>
            <w:shd w:val="clear" w:color="auto" w:fill="auto"/>
            <w:noWrap/>
            <w:hideMark/>
          </w:tcPr>
          <w:p w14:paraId="57BD46DD"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53%</w:t>
            </w:r>
          </w:p>
        </w:tc>
      </w:tr>
      <w:tr w:rsidR="000E13E2" w:rsidRPr="00EC2BCC" w14:paraId="68193BA0"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hideMark/>
          </w:tcPr>
          <w:p w14:paraId="29517A9E" w14:textId="77777777" w:rsidR="000E13E2" w:rsidRPr="00EC2BCC" w:rsidRDefault="000E13E2" w:rsidP="000E13E2">
            <w:pPr>
              <w:spacing w:line="360" w:lineRule="auto"/>
              <w:rPr>
                <w:rFonts w:cs="Times New Roman"/>
                <w:b w:val="0"/>
                <w:bCs w:val="0"/>
                <w:color w:val="000000"/>
                <w:szCs w:val="20"/>
                <w:lang w:eastAsia="en-GB"/>
              </w:rPr>
            </w:pPr>
          </w:p>
        </w:tc>
        <w:tc>
          <w:tcPr>
            <w:tcW w:w="1405" w:type="dxa"/>
            <w:shd w:val="clear" w:color="auto" w:fill="auto"/>
            <w:hideMark/>
          </w:tcPr>
          <w:p w14:paraId="35D9B7E5"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No</w:t>
            </w:r>
          </w:p>
        </w:tc>
        <w:tc>
          <w:tcPr>
            <w:tcW w:w="968" w:type="dxa"/>
            <w:shd w:val="clear" w:color="auto" w:fill="auto"/>
            <w:noWrap/>
            <w:hideMark/>
          </w:tcPr>
          <w:p w14:paraId="7C70A46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12</w:t>
            </w:r>
          </w:p>
        </w:tc>
        <w:tc>
          <w:tcPr>
            <w:tcW w:w="970" w:type="dxa"/>
            <w:shd w:val="clear" w:color="auto" w:fill="auto"/>
            <w:noWrap/>
            <w:hideMark/>
          </w:tcPr>
          <w:p w14:paraId="085F156D"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w:t>
            </w:r>
          </w:p>
        </w:tc>
        <w:tc>
          <w:tcPr>
            <w:tcW w:w="968" w:type="dxa"/>
            <w:shd w:val="clear" w:color="auto" w:fill="auto"/>
            <w:noWrap/>
            <w:hideMark/>
          </w:tcPr>
          <w:p w14:paraId="42C5B790"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53</w:t>
            </w:r>
          </w:p>
        </w:tc>
        <w:tc>
          <w:tcPr>
            <w:tcW w:w="970" w:type="dxa"/>
            <w:shd w:val="clear" w:color="auto" w:fill="auto"/>
            <w:noWrap/>
            <w:hideMark/>
          </w:tcPr>
          <w:p w14:paraId="361FD54C"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20%</w:t>
            </w:r>
          </w:p>
        </w:tc>
        <w:tc>
          <w:tcPr>
            <w:tcW w:w="968" w:type="dxa"/>
            <w:shd w:val="clear" w:color="auto" w:fill="auto"/>
            <w:noWrap/>
            <w:hideMark/>
          </w:tcPr>
          <w:p w14:paraId="7E46911C"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65</w:t>
            </w:r>
          </w:p>
        </w:tc>
        <w:tc>
          <w:tcPr>
            <w:tcW w:w="970" w:type="dxa"/>
            <w:shd w:val="clear" w:color="auto" w:fill="auto"/>
            <w:noWrap/>
            <w:hideMark/>
          </w:tcPr>
          <w:p w14:paraId="7439CA77"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25%</w:t>
            </w:r>
          </w:p>
        </w:tc>
      </w:tr>
      <w:tr w:rsidR="000E13E2" w:rsidRPr="00EC2BCC" w14:paraId="17CEEE4C" w14:textId="77777777" w:rsidTr="000E13E2">
        <w:trPr>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hideMark/>
          </w:tcPr>
          <w:p w14:paraId="2B1167D5" w14:textId="77777777" w:rsidR="000E13E2" w:rsidRPr="00EC2BCC" w:rsidRDefault="000E13E2" w:rsidP="000E13E2">
            <w:pPr>
              <w:spacing w:line="360" w:lineRule="auto"/>
              <w:rPr>
                <w:rFonts w:cs="Times New Roman"/>
                <w:b w:val="0"/>
                <w:bCs w:val="0"/>
                <w:color w:val="000000"/>
                <w:szCs w:val="20"/>
                <w:lang w:eastAsia="en-GB"/>
              </w:rPr>
            </w:pPr>
          </w:p>
        </w:tc>
        <w:tc>
          <w:tcPr>
            <w:tcW w:w="1405" w:type="dxa"/>
            <w:shd w:val="clear" w:color="auto" w:fill="auto"/>
            <w:hideMark/>
          </w:tcPr>
          <w:p w14:paraId="55C90FC6" w14:textId="77777777" w:rsidR="000E13E2" w:rsidRPr="00EC2BCC" w:rsidRDefault="000E13E2" w:rsidP="000E13E2">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Partly</w:t>
            </w:r>
          </w:p>
        </w:tc>
        <w:tc>
          <w:tcPr>
            <w:tcW w:w="968" w:type="dxa"/>
            <w:shd w:val="clear" w:color="auto" w:fill="auto"/>
            <w:noWrap/>
            <w:hideMark/>
          </w:tcPr>
          <w:p w14:paraId="1D6EFE04"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13</w:t>
            </w:r>
          </w:p>
        </w:tc>
        <w:tc>
          <w:tcPr>
            <w:tcW w:w="970" w:type="dxa"/>
            <w:shd w:val="clear" w:color="auto" w:fill="auto"/>
            <w:noWrap/>
            <w:hideMark/>
          </w:tcPr>
          <w:p w14:paraId="4613A62F"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w:t>
            </w:r>
          </w:p>
        </w:tc>
        <w:tc>
          <w:tcPr>
            <w:tcW w:w="968" w:type="dxa"/>
            <w:shd w:val="clear" w:color="auto" w:fill="auto"/>
            <w:noWrap/>
            <w:hideMark/>
          </w:tcPr>
          <w:p w14:paraId="7ADB44E5"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43</w:t>
            </w:r>
          </w:p>
        </w:tc>
        <w:tc>
          <w:tcPr>
            <w:tcW w:w="970" w:type="dxa"/>
            <w:shd w:val="clear" w:color="auto" w:fill="auto"/>
            <w:noWrap/>
            <w:hideMark/>
          </w:tcPr>
          <w:p w14:paraId="48EEEDA4"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17%</w:t>
            </w:r>
          </w:p>
        </w:tc>
        <w:tc>
          <w:tcPr>
            <w:tcW w:w="968" w:type="dxa"/>
            <w:shd w:val="clear" w:color="auto" w:fill="auto"/>
            <w:noWrap/>
            <w:hideMark/>
          </w:tcPr>
          <w:p w14:paraId="111F8E5D"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56</w:t>
            </w:r>
          </w:p>
        </w:tc>
        <w:tc>
          <w:tcPr>
            <w:tcW w:w="970" w:type="dxa"/>
            <w:shd w:val="clear" w:color="auto" w:fill="auto"/>
            <w:noWrap/>
            <w:hideMark/>
          </w:tcPr>
          <w:p w14:paraId="02A53AD7" w14:textId="77777777" w:rsidR="000E13E2" w:rsidRPr="00EC2BCC" w:rsidRDefault="000E13E2" w:rsidP="000E13E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22%</w:t>
            </w:r>
          </w:p>
        </w:tc>
      </w:tr>
      <w:tr w:rsidR="000E13E2" w:rsidRPr="00EC2BCC" w14:paraId="678D0CD6" w14:textId="77777777" w:rsidTr="000E13E2">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38" w:type="dxa"/>
            <w:vMerge/>
            <w:shd w:val="clear" w:color="auto" w:fill="auto"/>
            <w:hideMark/>
          </w:tcPr>
          <w:p w14:paraId="7898A92F" w14:textId="77777777" w:rsidR="000E13E2" w:rsidRPr="00EC2BCC" w:rsidRDefault="000E13E2" w:rsidP="000E13E2">
            <w:pPr>
              <w:spacing w:line="360" w:lineRule="auto"/>
              <w:rPr>
                <w:rFonts w:cs="Times New Roman"/>
                <w:b w:val="0"/>
                <w:bCs w:val="0"/>
                <w:color w:val="000000"/>
                <w:szCs w:val="20"/>
                <w:lang w:eastAsia="en-GB"/>
              </w:rPr>
            </w:pPr>
          </w:p>
        </w:tc>
        <w:tc>
          <w:tcPr>
            <w:tcW w:w="1405" w:type="dxa"/>
            <w:shd w:val="clear" w:color="auto" w:fill="auto"/>
            <w:hideMark/>
          </w:tcPr>
          <w:p w14:paraId="139F5D2C" w14:textId="77777777" w:rsidR="000E13E2" w:rsidRPr="00EC2BCC" w:rsidRDefault="000E13E2" w:rsidP="000E13E2">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Sum</w:t>
            </w:r>
          </w:p>
        </w:tc>
        <w:tc>
          <w:tcPr>
            <w:tcW w:w="968" w:type="dxa"/>
            <w:shd w:val="clear" w:color="auto" w:fill="auto"/>
            <w:noWrap/>
            <w:hideMark/>
          </w:tcPr>
          <w:p w14:paraId="63C62671"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64</w:t>
            </w:r>
          </w:p>
        </w:tc>
        <w:tc>
          <w:tcPr>
            <w:tcW w:w="970" w:type="dxa"/>
            <w:shd w:val="clear" w:color="auto" w:fill="auto"/>
            <w:noWrap/>
            <w:hideMark/>
          </w:tcPr>
          <w:p w14:paraId="43BDA580"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25%</w:t>
            </w:r>
          </w:p>
        </w:tc>
        <w:tc>
          <w:tcPr>
            <w:tcW w:w="968" w:type="dxa"/>
            <w:shd w:val="clear" w:color="auto" w:fill="auto"/>
            <w:noWrap/>
            <w:hideMark/>
          </w:tcPr>
          <w:p w14:paraId="5D830148"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196</w:t>
            </w:r>
          </w:p>
        </w:tc>
        <w:tc>
          <w:tcPr>
            <w:tcW w:w="970" w:type="dxa"/>
            <w:shd w:val="clear" w:color="auto" w:fill="auto"/>
            <w:noWrap/>
            <w:hideMark/>
          </w:tcPr>
          <w:p w14:paraId="05D50293"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75%</w:t>
            </w:r>
          </w:p>
        </w:tc>
        <w:tc>
          <w:tcPr>
            <w:tcW w:w="968" w:type="dxa"/>
            <w:shd w:val="clear" w:color="auto" w:fill="auto"/>
            <w:noWrap/>
            <w:hideMark/>
          </w:tcPr>
          <w:p w14:paraId="57D06597"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260</w:t>
            </w:r>
          </w:p>
        </w:tc>
        <w:tc>
          <w:tcPr>
            <w:tcW w:w="970" w:type="dxa"/>
            <w:shd w:val="clear" w:color="auto" w:fill="auto"/>
            <w:noWrap/>
            <w:hideMark/>
          </w:tcPr>
          <w:p w14:paraId="70D647CA" w14:textId="77777777" w:rsidR="000E13E2" w:rsidRPr="00EC2BCC" w:rsidRDefault="000E13E2" w:rsidP="000E13E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eastAsia="en-GB"/>
              </w:rPr>
            </w:pPr>
            <w:r w:rsidRPr="00EC2BCC">
              <w:rPr>
                <w:rFonts w:cs="Times New Roman"/>
                <w:color w:val="000000"/>
                <w:szCs w:val="20"/>
                <w:lang w:val="en" w:eastAsia="en-GB"/>
              </w:rPr>
              <w:t>100%</w:t>
            </w:r>
          </w:p>
        </w:tc>
      </w:tr>
      <w:bookmarkEnd w:id="3"/>
    </w:tbl>
    <w:p w14:paraId="5FFEB8C6" w14:textId="77777777" w:rsidR="000E13E2" w:rsidRPr="006E5717" w:rsidRDefault="000E13E2" w:rsidP="000E13E2">
      <w:pPr>
        <w:widowControl w:val="0"/>
        <w:spacing w:line="360" w:lineRule="auto"/>
      </w:pPr>
    </w:p>
    <w:p w14:paraId="11CD72EA" w14:textId="77777777" w:rsidR="000E13E2" w:rsidRDefault="000E13E2" w:rsidP="00D6757F">
      <w:pPr>
        <w:widowControl w:val="0"/>
        <w:spacing w:line="360" w:lineRule="auto"/>
        <w:rPr>
          <w:b/>
        </w:rPr>
      </w:pPr>
    </w:p>
    <w:p w14:paraId="4A5A4214" w14:textId="77777777" w:rsidR="000E13E2" w:rsidRDefault="000E13E2" w:rsidP="00D6757F">
      <w:pPr>
        <w:widowControl w:val="0"/>
        <w:spacing w:line="360" w:lineRule="auto"/>
        <w:rPr>
          <w:b/>
        </w:rPr>
      </w:pPr>
    </w:p>
    <w:p w14:paraId="0AD18DCC" w14:textId="77777777" w:rsidR="000E13E2" w:rsidRDefault="000E13E2" w:rsidP="00D6757F">
      <w:pPr>
        <w:widowControl w:val="0"/>
        <w:spacing w:line="360" w:lineRule="auto"/>
        <w:rPr>
          <w:b/>
        </w:rPr>
      </w:pPr>
    </w:p>
    <w:p w14:paraId="4B21E487" w14:textId="77777777" w:rsidR="000E13E2" w:rsidRDefault="000E13E2" w:rsidP="00D6757F">
      <w:pPr>
        <w:widowControl w:val="0"/>
        <w:spacing w:line="360" w:lineRule="auto"/>
        <w:rPr>
          <w:b/>
        </w:rPr>
      </w:pPr>
    </w:p>
    <w:p w14:paraId="7F7F67BC" w14:textId="77777777" w:rsidR="000E13E2" w:rsidRDefault="000E13E2" w:rsidP="00D6757F">
      <w:pPr>
        <w:widowControl w:val="0"/>
        <w:spacing w:line="360" w:lineRule="auto"/>
        <w:rPr>
          <w:b/>
        </w:rPr>
      </w:pPr>
    </w:p>
    <w:p w14:paraId="16C7313C" w14:textId="77777777" w:rsidR="000E13E2" w:rsidRDefault="000E13E2" w:rsidP="00D6757F">
      <w:pPr>
        <w:widowControl w:val="0"/>
        <w:spacing w:line="360" w:lineRule="auto"/>
        <w:rPr>
          <w:b/>
        </w:rPr>
      </w:pPr>
    </w:p>
    <w:p w14:paraId="2D4C5886" w14:textId="77777777" w:rsidR="000E13E2" w:rsidRDefault="000E13E2" w:rsidP="00D6757F">
      <w:pPr>
        <w:widowControl w:val="0"/>
        <w:spacing w:line="360" w:lineRule="auto"/>
        <w:rPr>
          <w:b/>
        </w:rPr>
      </w:pPr>
    </w:p>
    <w:p w14:paraId="6B047FA6" w14:textId="77777777" w:rsidR="000E13E2" w:rsidRDefault="000E13E2" w:rsidP="00D6757F">
      <w:pPr>
        <w:widowControl w:val="0"/>
        <w:spacing w:line="360" w:lineRule="auto"/>
        <w:rPr>
          <w:b/>
        </w:rPr>
      </w:pPr>
    </w:p>
    <w:p w14:paraId="2C0C5669" w14:textId="77777777" w:rsidR="000E13E2" w:rsidRDefault="000E13E2" w:rsidP="00D6757F">
      <w:pPr>
        <w:widowControl w:val="0"/>
        <w:spacing w:line="360" w:lineRule="auto"/>
        <w:rPr>
          <w:b/>
        </w:rPr>
      </w:pPr>
    </w:p>
    <w:p w14:paraId="0E3F17F4" w14:textId="77777777" w:rsidR="000E13E2" w:rsidRDefault="000E13E2" w:rsidP="00D6757F">
      <w:pPr>
        <w:widowControl w:val="0"/>
        <w:spacing w:line="360" w:lineRule="auto"/>
        <w:rPr>
          <w:b/>
        </w:rPr>
      </w:pPr>
    </w:p>
    <w:p w14:paraId="3B227616" w14:textId="77777777" w:rsidR="000E13E2" w:rsidRDefault="000E13E2" w:rsidP="00D6757F">
      <w:pPr>
        <w:widowControl w:val="0"/>
        <w:spacing w:line="360" w:lineRule="auto"/>
        <w:rPr>
          <w:b/>
        </w:rPr>
      </w:pPr>
    </w:p>
    <w:p w14:paraId="3BCF356B" w14:textId="77777777" w:rsidR="000E13E2" w:rsidRDefault="000E13E2" w:rsidP="00D6757F">
      <w:pPr>
        <w:widowControl w:val="0"/>
        <w:spacing w:line="360" w:lineRule="auto"/>
        <w:rPr>
          <w:b/>
        </w:rPr>
      </w:pPr>
    </w:p>
    <w:p w14:paraId="374EE273" w14:textId="77777777" w:rsidR="000E13E2" w:rsidRDefault="000E13E2" w:rsidP="00D6757F">
      <w:pPr>
        <w:widowControl w:val="0"/>
        <w:spacing w:line="360" w:lineRule="auto"/>
        <w:rPr>
          <w:b/>
        </w:rPr>
      </w:pPr>
    </w:p>
    <w:p w14:paraId="300B7F56" w14:textId="77777777" w:rsidR="000E13E2" w:rsidRDefault="000E13E2" w:rsidP="00D6757F">
      <w:pPr>
        <w:widowControl w:val="0"/>
        <w:spacing w:line="360" w:lineRule="auto"/>
        <w:rPr>
          <w:b/>
        </w:rPr>
      </w:pPr>
    </w:p>
    <w:p w14:paraId="39DFF2B8" w14:textId="77777777" w:rsidR="000E13E2" w:rsidRDefault="000E13E2" w:rsidP="00D6757F">
      <w:pPr>
        <w:widowControl w:val="0"/>
        <w:spacing w:line="360" w:lineRule="auto"/>
        <w:rPr>
          <w:b/>
        </w:rPr>
      </w:pPr>
    </w:p>
    <w:p w14:paraId="4BFE9906" w14:textId="77777777" w:rsidR="000E13E2" w:rsidRDefault="000E13E2" w:rsidP="00D6757F">
      <w:pPr>
        <w:widowControl w:val="0"/>
        <w:spacing w:line="360" w:lineRule="auto"/>
        <w:rPr>
          <w:b/>
        </w:rPr>
      </w:pPr>
    </w:p>
    <w:p w14:paraId="42F16C48" w14:textId="77777777" w:rsidR="000E13E2" w:rsidRDefault="000E13E2" w:rsidP="00D6757F">
      <w:pPr>
        <w:widowControl w:val="0"/>
        <w:spacing w:line="360" w:lineRule="auto"/>
        <w:rPr>
          <w:b/>
        </w:rPr>
      </w:pPr>
    </w:p>
    <w:p w14:paraId="0675C260" w14:textId="77777777" w:rsidR="000E13E2" w:rsidRPr="00EC2BCC" w:rsidRDefault="000E13E2" w:rsidP="000E13E2">
      <w:pPr>
        <w:pStyle w:val="NormalWeb"/>
        <w:spacing w:line="360" w:lineRule="auto"/>
        <w:jc w:val="both"/>
        <w:rPr>
          <w:sz w:val="20"/>
          <w:szCs w:val="20"/>
        </w:rPr>
      </w:pPr>
      <w:r w:rsidRPr="00EC2BCC">
        <w:rPr>
          <w:sz w:val="20"/>
          <w:szCs w:val="20"/>
          <w:lang w:val="en"/>
        </w:rPr>
        <w:t xml:space="preserve">Out of a total of 260 survey participants, women (n=182) were more likely than men (n=78). The age range is maximum 23-27 (n=88). The educational status of the participants is undergraduate (n=194) and graduate (n=66) person. According to the Scale of the Viability of Visual Imagination, (n=64) of these people are not </w:t>
      </w:r>
      <w:proofErr w:type="spellStart"/>
      <w:r w:rsidRPr="00EC2BCC">
        <w:rPr>
          <w:sz w:val="20"/>
          <w:szCs w:val="20"/>
        </w:rPr>
        <w:t>aphantasic</w:t>
      </w:r>
      <w:proofErr w:type="spellEnd"/>
      <w:r w:rsidRPr="00EC2BCC">
        <w:rPr>
          <w:sz w:val="20"/>
          <w:szCs w:val="20"/>
          <w:lang w:val="en"/>
        </w:rPr>
        <w:t xml:space="preserve"> (n=196). According to Table 4, 13% of the people who are </w:t>
      </w:r>
      <w:proofErr w:type="spellStart"/>
      <w:r w:rsidRPr="00EC2BCC">
        <w:rPr>
          <w:sz w:val="20"/>
          <w:szCs w:val="20"/>
        </w:rPr>
        <w:t>aphantasic</w:t>
      </w:r>
      <w:proofErr w:type="spellEnd"/>
      <w:r w:rsidRPr="00EC2BCC">
        <w:rPr>
          <w:sz w:val="20"/>
          <w:szCs w:val="20"/>
          <w:lang w:val="en"/>
        </w:rPr>
        <w:t xml:space="preserve"> have received undergraduate education and 12% have received postgraduate education, while 75% of non-aphantasia people have received undergraduate education and 25% have received postgraduate education. 15% of people with </w:t>
      </w:r>
      <w:proofErr w:type="spellStart"/>
      <w:r w:rsidRPr="00EC2BCC">
        <w:rPr>
          <w:sz w:val="20"/>
          <w:szCs w:val="20"/>
          <w:lang w:val="en"/>
        </w:rPr>
        <w:t>aphane</w:t>
      </w:r>
      <w:proofErr w:type="spellEnd"/>
      <w:r w:rsidRPr="00EC2BCC">
        <w:rPr>
          <w:sz w:val="20"/>
          <w:szCs w:val="20"/>
          <w:lang w:val="en"/>
        </w:rPr>
        <w:t xml:space="preserve"> consider themselves successful, while 38% of non-</w:t>
      </w:r>
      <w:proofErr w:type="spellStart"/>
      <w:r w:rsidRPr="00EC2BCC">
        <w:rPr>
          <w:sz w:val="20"/>
          <w:szCs w:val="20"/>
          <w:lang w:val="en"/>
        </w:rPr>
        <w:t>abantasic</w:t>
      </w:r>
      <w:proofErr w:type="spellEnd"/>
      <w:r w:rsidRPr="00EC2BCC">
        <w:rPr>
          <w:sz w:val="20"/>
          <w:szCs w:val="20"/>
          <w:lang w:val="en"/>
        </w:rPr>
        <w:t xml:space="preserve"> people consider themselves academically successful. </w:t>
      </w:r>
    </w:p>
    <w:p w14:paraId="6EAE85A2" w14:textId="77777777" w:rsidR="000E13E2" w:rsidRPr="00EC2BCC" w:rsidRDefault="000E13E2" w:rsidP="000E13E2">
      <w:pPr>
        <w:pStyle w:val="NormalWeb"/>
        <w:spacing w:line="360" w:lineRule="auto"/>
        <w:jc w:val="both"/>
        <w:rPr>
          <w:sz w:val="20"/>
          <w:szCs w:val="20"/>
        </w:rPr>
      </w:pPr>
      <w:r w:rsidRPr="000E13E2">
        <w:rPr>
          <w:bCs/>
          <w:sz w:val="20"/>
          <w:szCs w:val="20"/>
          <w:lang w:val="en"/>
        </w:rPr>
        <w:lastRenderedPageBreak/>
        <w:t>Table 4.</w:t>
      </w:r>
      <w:r w:rsidRPr="00EC2BCC">
        <w:rPr>
          <w:sz w:val="20"/>
          <w:szCs w:val="20"/>
          <w:lang w:val="en"/>
        </w:rPr>
        <w:t xml:space="preserve"> Average and standard deviation rates of responses of aphantasic and non-apathetic individuals to the process strategies subcategory of their LSs.</w:t>
      </w:r>
    </w:p>
    <w:tbl>
      <w:tblPr>
        <w:tblStyle w:val="DzTablo2"/>
        <w:tblW w:w="7919" w:type="dxa"/>
        <w:tblLook w:val="04A0" w:firstRow="1" w:lastRow="0" w:firstColumn="1" w:lastColumn="0" w:noHBand="0" w:noVBand="1"/>
      </w:tblPr>
      <w:tblGrid>
        <w:gridCol w:w="3373"/>
        <w:gridCol w:w="1132"/>
        <w:gridCol w:w="1140"/>
        <w:gridCol w:w="1132"/>
        <w:gridCol w:w="1142"/>
      </w:tblGrid>
      <w:tr w:rsidR="000E13E2" w:rsidRPr="00EC2BCC" w14:paraId="1F14BEBA" w14:textId="77777777" w:rsidTr="004E7C9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373" w:type="dxa"/>
            <w:tcBorders>
              <w:top w:val="single" w:sz="4" w:space="0" w:color="7F7F7F" w:themeColor="text1" w:themeTint="80"/>
              <w:bottom w:val="nil"/>
            </w:tcBorders>
            <w:noWrap/>
            <w:hideMark/>
          </w:tcPr>
          <w:p w14:paraId="6706EC72" w14:textId="77777777" w:rsidR="000E13E2" w:rsidRPr="00EC2BCC" w:rsidRDefault="000E13E2" w:rsidP="004E7C99">
            <w:pPr>
              <w:spacing w:line="360" w:lineRule="auto"/>
              <w:jc w:val="center"/>
              <w:rPr>
                <w:rFonts w:cs="Times New Roman"/>
                <w:color w:val="000000"/>
                <w:szCs w:val="20"/>
                <w:lang w:val="tr-TR" w:eastAsia="en-GB"/>
              </w:rPr>
            </w:pPr>
          </w:p>
        </w:tc>
        <w:tc>
          <w:tcPr>
            <w:tcW w:w="2272" w:type="dxa"/>
            <w:gridSpan w:val="2"/>
            <w:tcBorders>
              <w:top w:val="single" w:sz="4" w:space="0" w:color="7F7F7F" w:themeColor="text1" w:themeTint="80"/>
              <w:bottom w:val="single" w:sz="4" w:space="0" w:color="auto"/>
            </w:tcBorders>
            <w:hideMark/>
          </w:tcPr>
          <w:p w14:paraId="0FA9B18D"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proofErr w:type="spellStart"/>
            <w:r w:rsidRPr="00EC2BCC">
              <w:rPr>
                <w:rFonts w:cs="Times New Roman"/>
                <w:color w:val="000000"/>
                <w:szCs w:val="20"/>
                <w:lang w:val="tr-TR" w:eastAsia="en-GB"/>
              </w:rPr>
              <w:t>Aphantasic</w:t>
            </w:r>
            <w:proofErr w:type="spellEnd"/>
          </w:p>
        </w:tc>
        <w:tc>
          <w:tcPr>
            <w:tcW w:w="2274" w:type="dxa"/>
            <w:gridSpan w:val="2"/>
            <w:tcBorders>
              <w:top w:val="single" w:sz="4" w:space="0" w:color="7F7F7F" w:themeColor="text1" w:themeTint="80"/>
              <w:bottom w:val="single" w:sz="4" w:space="0" w:color="auto"/>
            </w:tcBorders>
            <w:hideMark/>
          </w:tcPr>
          <w:p w14:paraId="7C0D236B"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 xml:space="preserve">Not </w:t>
            </w:r>
            <w:proofErr w:type="spellStart"/>
            <w:r w:rsidRPr="00EC2BCC">
              <w:rPr>
                <w:rFonts w:cs="Times New Roman"/>
                <w:color w:val="000000"/>
                <w:szCs w:val="20"/>
                <w:lang w:val="tr-TR" w:eastAsia="en-GB"/>
              </w:rPr>
              <w:t>aphantasic</w:t>
            </w:r>
            <w:proofErr w:type="spellEnd"/>
          </w:p>
        </w:tc>
      </w:tr>
      <w:tr w:rsidR="000E13E2" w:rsidRPr="00EC2BCC" w14:paraId="0DFF641F" w14:textId="77777777" w:rsidTr="004E7C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373" w:type="dxa"/>
            <w:tcBorders>
              <w:top w:val="nil"/>
            </w:tcBorders>
            <w:noWrap/>
            <w:hideMark/>
          </w:tcPr>
          <w:p w14:paraId="79E5ACF9" w14:textId="77777777" w:rsidR="000E13E2" w:rsidRPr="00EC2BCC" w:rsidRDefault="000E13E2" w:rsidP="004E7C99">
            <w:pPr>
              <w:spacing w:line="360" w:lineRule="auto"/>
              <w:jc w:val="center"/>
              <w:rPr>
                <w:rFonts w:cs="Times New Roman"/>
                <w:color w:val="000000"/>
                <w:szCs w:val="20"/>
                <w:lang w:val="tr-TR" w:eastAsia="en-GB"/>
              </w:rPr>
            </w:pPr>
          </w:p>
        </w:tc>
        <w:tc>
          <w:tcPr>
            <w:tcW w:w="1132" w:type="dxa"/>
            <w:tcBorders>
              <w:top w:val="single" w:sz="4" w:space="0" w:color="auto"/>
            </w:tcBorders>
            <w:vAlign w:val="center"/>
            <w:hideMark/>
          </w:tcPr>
          <w:p w14:paraId="7B29D0A1"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140" w:type="dxa"/>
            <w:tcBorders>
              <w:top w:val="single" w:sz="4" w:space="0" w:color="auto"/>
            </w:tcBorders>
            <w:vAlign w:val="center"/>
            <w:hideMark/>
          </w:tcPr>
          <w:p w14:paraId="0E359A37" w14:textId="77777777" w:rsidR="000E13E2" w:rsidRPr="00EC2BCC" w:rsidRDefault="000E13E2"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 Deviation</w:t>
            </w:r>
          </w:p>
        </w:tc>
        <w:tc>
          <w:tcPr>
            <w:tcW w:w="1132" w:type="dxa"/>
            <w:tcBorders>
              <w:top w:val="single" w:sz="4" w:space="0" w:color="auto"/>
            </w:tcBorders>
            <w:vAlign w:val="center"/>
            <w:hideMark/>
          </w:tcPr>
          <w:p w14:paraId="3969EED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142" w:type="dxa"/>
            <w:tcBorders>
              <w:top w:val="single" w:sz="4" w:space="0" w:color="auto"/>
            </w:tcBorders>
            <w:vAlign w:val="center"/>
            <w:hideMark/>
          </w:tcPr>
          <w:p w14:paraId="2FFCBD85" w14:textId="77777777" w:rsidR="000E13E2" w:rsidRPr="00EC2BCC" w:rsidRDefault="000E13E2"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 Deviation</w:t>
            </w:r>
          </w:p>
        </w:tc>
      </w:tr>
      <w:tr w:rsidR="000E13E2" w:rsidRPr="00EC2BCC" w14:paraId="1762FA47" w14:textId="77777777" w:rsidTr="004E7C99">
        <w:trPr>
          <w:trHeight w:hRule="exact" w:val="284"/>
        </w:trPr>
        <w:tc>
          <w:tcPr>
            <w:cnfStyle w:val="001000000000" w:firstRow="0" w:lastRow="0" w:firstColumn="1" w:lastColumn="0" w:oddVBand="0" w:evenVBand="0" w:oddHBand="0" w:evenHBand="0" w:firstRowFirstColumn="0" w:firstRowLastColumn="0" w:lastRowFirstColumn="0" w:lastRowLastColumn="0"/>
            <w:tcW w:w="3373" w:type="dxa"/>
            <w:tcBorders>
              <w:top w:val="single" w:sz="4" w:space="0" w:color="7F7F7F" w:themeColor="text1" w:themeTint="80"/>
            </w:tcBorders>
            <w:vAlign w:val="center"/>
          </w:tcPr>
          <w:p w14:paraId="19B0B3B5" w14:textId="77777777" w:rsidR="000E13E2" w:rsidRPr="00EC2BCC" w:rsidRDefault="000E13E2" w:rsidP="004E7C99">
            <w:pPr>
              <w:spacing w:line="360" w:lineRule="auto"/>
              <w:ind w:firstLine="0"/>
              <w:rPr>
                <w:rFonts w:cs="Times New Roman"/>
                <w:b w:val="0"/>
                <w:bCs w:val="0"/>
                <w:color w:val="000000"/>
                <w:szCs w:val="20"/>
                <w:lang w:val="tr-TR" w:eastAsia="en-GB"/>
              </w:rPr>
            </w:pPr>
            <w:r w:rsidRPr="00EC2BCC">
              <w:rPr>
                <w:rFonts w:cs="Times New Roman"/>
                <w:color w:val="000000"/>
                <w:szCs w:val="20"/>
                <w:lang w:val="en" w:eastAsia="en-GB"/>
              </w:rPr>
              <w:t>Process Strategies</w:t>
            </w:r>
          </w:p>
        </w:tc>
        <w:tc>
          <w:tcPr>
            <w:tcW w:w="1132" w:type="dxa"/>
            <w:tcBorders>
              <w:top w:val="single" w:sz="4" w:space="0" w:color="7F7F7F" w:themeColor="text1" w:themeTint="80"/>
            </w:tcBorders>
            <w:noWrap/>
            <w:vAlign w:val="center"/>
          </w:tcPr>
          <w:p w14:paraId="2AEAF44E"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3.27</w:t>
            </w:r>
          </w:p>
        </w:tc>
        <w:tc>
          <w:tcPr>
            <w:tcW w:w="1140" w:type="dxa"/>
            <w:tcBorders>
              <w:top w:val="single" w:sz="4" w:space="0" w:color="7F7F7F" w:themeColor="text1" w:themeTint="80"/>
            </w:tcBorders>
            <w:noWrap/>
            <w:vAlign w:val="center"/>
          </w:tcPr>
          <w:p w14:paraId="12AB2E1A"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.74</w:t>
            </w:r>
          </w:p>
        </w:tc>
        <w:tc>
          <w:tcPr>
            <w:tcW w:w="1132" w:type="dxa"/>
            <w:tcBorders>
              <w:top w:val="single" w:sz="4" w:space="0" w:color="7F7F7F" w:themeColor="text1" w:themeTint="80"/>
            </w:tcBorders>
            <w:noWrap/>
            <w:vAlign w:val="center"/>
          </w:tcPr>
          <w:p w14:paraId="4C146626"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3.36</w:t>
            </w:r>
          </w:p>
        </w:tc>
        <w:tc>
          <w:tcPr>
            <w:tcW w:w="1142" w:type="dxa"/>
            <w:tcBorders>
              <w:top w:val="single" w:sz="4" w:space="0" w:color="7F7F7F" w:themeColor="text1" w:themeTint="80"/>
            </w:tcBorders>
            <w:noWrap/>
            <w:vAlign w:val="center"/>
          </w:tcPr>
          <w:p w14:paraId="459F9D51"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.71</w:t>
            </w:r>
          </w:p>
        </w:tc>
      </w:tr>
      <w:tr w:rsidR="000E13E2" w:rsidRPr="00EC2BCC" w14:paraId="6DF4AC0B" w14:textId="77777777" w:rsidTr="004E7C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373" w:type="dxa"/>
            <w:tcBorders>
              <w:top w:val="none" w:sz="0" w:space="0" w:color="auto"/>
              <w:bottom w:val="none" w:sz="0" w:space="0" w:color="auto"/>
            </w:tcBorders>
            <w:hideMark/>
          </w:tcPr>
          <w:p w14:paraId="4B284511" w14:textId="77777777" w:rsidR="000E13E2" w:rsidRPr="00EC2BCC" w:rsidRDefault="000E13E2" w:rsidP="004E7C99">
            <w:pPr>
              <w:spacing w:line="360" w:lineRule="auto"/>
              <w:ind w:firstLine="35"/>
              <w:jc w:val="left"/>
              <w:rPr>
                <w:rFonts w:cs="Times New Roman"/>
                <w:b w:val="0"/>
                <w:bCs w:val="0"/>
                <w:color w:val="000000"/>
                <w:szCs w:val="20"/>
                <w:lang w:val="tr-TR" w:eastAsia="en-GB"/>
              </w:rPr>
            </w:pPr>
            <w:r w:rsidRPr="00EC2BCC">
              <w:rPr>
                <w:rFonts w:cs="Times New Roman"/>
                <w:b w:val="0"/>
                <w:bCs w:val="0"/>
                <w:color w:val="000000"/>
                <w:szCs w:val="20"/>
                <w:lang w:val="en" w:eastAsia="en-GB"/>
              </w:rPr>
              <w:t>Establish-edit relationships</w:t>
            </w:r>
          </w:p>
        </w:tc>
        <w:tc>
          <w:tcPr>
            <w:tcW w:w="1132" w:type="dxa"/>
            <w:tcBorders>
              <w:top w:val="none" w:sz="0" w:space="0" w:color="auto"/>
              <w:bottom w:val="none" w:sz="0" w:space="0" w:color="auto"/>
            </w:tcBorders>
            <w:noWrap/>
            <w:vAlign w:val="center"/>
            <w:hideMark/>
          </w:tcPr>
          <w:p w14:paraId="62EE7DC2"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3.32</w:t>
            </w:r>
          </w:p>
        </w:tc>
        <w:tc>
          <w:tcPr>
            <w:tcW w:w="1140" w:type="dxa"/>
            <w:tcBorders>
              <w:top w:val="none" w:sz="0" w:space="0" w:color="auto"/>
              <w:bottom w:val="none" w:sz="0" w:space="0" w:color="auto"/>
            </w:tcBorders>
            <w:noWrap/>
            <w:vAlign w:val="center"/>
            <w:hideMark/>
          </w:tcPr>
          <w:p w14:paraId="725B5A7C"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1.09</w:t>
            </w:r>
          </w:p>
        </w:tc>
        <w:tc>
          <w:tcPr>
            <w:tcW w:w="1132" w:type="dxa"/>
            <w:tcBorders>
              <w:top w:val="none" w:sz="0" w:space="0" w:color="auto"/>
              <w:bottom w:val="none" w:sz="0" w:space="0" w:color="auto"/>
            </w:tcBorders>
            <w:noWrap/>
            <w:vAlign w:val="center"/>
            <w:hideMark/>
          </w:tcPr>
          <w:p w14:paraId="35AB2D2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3.11</w:t>
            </w:r>
          </w:p>
        </w:tc>
        <w:tc>
          <w:tcPr>
            <w:tcW w:w="1142" w:type="dxa"/>
            <w:tcBorders>
              <w:top w:val="none" w:sz="0" w:space="0" w:color="auto"/>
              <w:bottom w:val="none" w:sz="0" w:space="0" w:color="auto"/>
            </w:tcBorders>
            <w:noWrap/>
            <w:vAlign w:val="center"/>
            <w:hideMark/>
          </w:tcPr>
          <w:p w14:paraId="02F0E102"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1.05</w:t>
            </w:r>
          </w:p>
        </w:tc>
      </w:tr>
      <w:tr w:rsidR="000E13E2" w:rsidRPr="00EC2BCC" w14:paraId="57CA253C" w14:textId="77777777" w:rsidTr="004E7C99">
        <w:trPr>
          <w:trHeight w:hRule="exact" w:val="284"/>
        </w:trPr>
        <w:tc>
          <w:tcPr>
            <w:cnfStyle w:val="001000000000" w:firstRow="0" w:lastRow="0" w:firstColumn="1" w:lastColumn="0" w:oddVBand="0" w:evenVBand="0" w:oddHBand="0" w:evenHBand="0" w:firstRowFirstColumn="0" w:firstRowLastColumn="0" w:lastRowFirstColumn="0" w:lastRowLastColumn="0"/>
            <w:tcW w:w="3373" w:type="dxa"/>
            <w:hideMark/>
          </w:tcPr>
          <w:p w14:paraId="5E79032E" w14:textId="77777777" w:rsidR="000E13E2" w:rsidRPr="00EC2BCC" w:rsidRDefault="000E13E2" w:rsidP="004E7C99">
            <w:pPr>
              <w:spacing w:line="360" w:lineRule="auto"/>
              <w:ind w:firstLine="35"/>
              <w:jc w:val="left"/>
              <w:rPr>
                <w:rFonts w:cs="Times New Roman"/>
                <w:b w:val="0"/>
                <w:bCs w:val="0"/>
                <w:color w:val="000000"/>
                <w:szCs w:val="20"/>
                <w:lang w:val="tr-TR" w:eastAsia="en-GB"/>
              </w:rPr>
            </w:pPr>
            <w:r w:rsidRPr="00EC2BCC">
              <w:rPr>
                <w:rFonts w:cs="Times New Roman"/>
                <w:b w:val="0"/>
                <w:bCs w:val="0"/>
                <w:color w:val="000000"/>
                <w:szCs w:val="20"/>
                <w:lang w:val="en" w:eastAsia="en-GB"/>
              </w:rPr>
              <w:t>Critical processing</w:t>
            </w:r>
          </w:p>
        </w:tc>
        <w:tc>
          <w:tcPr>
            <w:tcW w:w="1132" w:type="dxa"/>
            <w:noWrap/>
            <w:vAlign w:val="center"/>
            <w:hideMark/>
          </w:tcPr>
          <w:p w14:paraId="637BDCBE"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2.91</w:t>
            </w:r>
          </w:p>
        </w:tc>
        <w:tc>
          <w:tcPr>
            <w:tcW w:w="1140" w:type="dxa"/>
            <w:noWrap/>
            <w:vAlign w:val="center"/>
            <w:hideMark/>
          </w:tcPr>
          <w:p w14:paraId="21D0477B"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1.16</w:t>
            </w:r>
          </w:p>
        </w:tc>
        <w:tc>
          <w:tcPr>
            <w:tcW w:w="1132" w:type="dxa"/>
            <w:noWrap/>
            <w:vAlign w:val="center"/>
            <w:hideMark/>
          </w:tcPr>
          <w:p w14:paraId="4E530715"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3.24</w:t>
            </w:r>
          </w:p>
        </w:tc>
        <w:tc>
          <w:tcPr>
            <w:tcW w:w="1142" w:type="dxa"/>
            <w:noWrap/>
            <w:vAlign w:val="center"/>
            <w:hideMark/>
          </w:tcPr>
          <w:p w14:paraId="6243A2D1"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.85</w:t>
            </w:r>
          </w:p>
        </w:tc>
      </w:tr>
      <w:tr w:rsidR="000E13E2" w:rsidRPr="00EC2BCC" w14:paraId="5677CC6B" w14:textId="77777777" w:rsidTr="004E7C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373" w:type="dxa"/>
            <w:tcBorders>
              <w:top w:val="none" w:sz="0" w:space="0" w:color="auto"/>
              <w:bottom w:val="none" w:sz="0" w:space="0" w:color="auto"/>
            </w:tcBorders>
            <w:hideMark/>
          </w:tcPr>
          <w:p w14:paraId="01034B90" w14:textId="77777777" w:rsidR="000E13E2" w:rsidRPr="00EC2BCC" w:rsidRDefault="000E13E2" w:rsidP="004E7C99">
            <w:pPr>
              <w:spacing w:line="360" w:lineRule="auto"/>
              <w:ind w:firstLine="35"/>
              <w:jc w:val="left"/>
              <w:rPr>
                <w:rFonts w:cs="Times New Roman"/>
                <w:b w:val="0"/>
                <w:bCs w:val="0"/>
                <w:color w:val="000000"/>
                <w:szCs w:val="20"/>
                <w:lang w:val="tr-TR" w:eastAsia="en-GB"/>
              </w:rPr>
            </w:pPr>
            <w:r w:rsidRPr="00EC2BCC">
              <w:rPr>
                <w:rFonts w:cs="Times New Roman"/>
                <w:b w:val="0"/>
                <w:bCs w:val="0"/>
                <w:color w:val="000000"/>
                <w:szCs w:val="20"/>
                <w:lang w:val="en" w:eastAsia="en-GB"/>
              </w:rPr>
              <w:t>Memorization and repetition</w:t>
            </w:r>
          </w:p>
        </w:tc>
        <w:tc>
          <w:tcPr>
            <w:tcW w:w="1132" w:type="dxa"/>
            <w:tcBorders>
              <w:top w:val="none" w:sz="0" w:space="0" w:color="auto"/>
              <w:bottom w:val="none" w:sz="0" w:space="0" w:color="auto"/>
            </w:tcBorders>
            <w:noWrap/>
            <w:vAlign w:val="center"/>
            <w:hideMark/>
          </w:tcPr>
          <w:p w14:paraId="767681D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3.51</w:t>
            </w:r>
          </w:p>
        </w:tc>
        <w:tc>
          <w:tcPr>
            <w:tcW w:w="1140" w:type="dxa"/>
            <w:tcBorders>
              <w:top w:val="none" w:sz="0" w:space="0" w:color="auto"/>
              <w:bottom w:val="none" w:sz="0" w:space="0" w:color="auto"/>
            </w:tcBorders>
            <w:noWrap/>
            <w:vAlign w:val="center"/>
            <w:hideMark/>
          </w:tcPr>
          <w:p w14:paraId="3B600D9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1.14</w:t>
            </w:r>
          </w:p>
        </w:tc>
        <w:tc>
          <w:tcPr>
            <w:tcW w:w="1132" w:type="dxa"/>
            <w:tcBorders>
              <w:top w:val="none" w:sz="0" w:space="0" w:color="auto"/>
              <w:bottom w:val="none" w:sz="0" w:space="0" w:color="auto"/>
            </w:tcBorders>
            <w:noWrap/>
            <w:vAlign w:val="center"/>
            <w:hideMark/>
          </w:tcPr>
          <w:p w14:paraId="6EF6423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3.41</w:t>
            </w:r>
          </w:p>
        </w:tc>
        <w:tc>
          <w:tcPr>
            <w:tcW w:w="1142" w:type="dxa"/>
            <w:tcBorders>
              <w:top w:val="none" w:sz="0" w:space="0" w:color="auto"/>
              <w:bottom w:val="none" w:sz="0" w:space="0" w:color="auto"/>
            </w:tcBorders>
            <w:noWrap/>
            <w:vAlign w:val="center"/>
            <w:hideMark/>
          </w:tcPr>
          <w:p w14:paraId="7857AC3E"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.85</w:t>
            </w:r>
          </w:p>
        </w:tc>
      </w:tr>
      <w:tr w:rsidR="000E13E2" w:rsidRPr="00EC2BCC" w14:paraId="382DDF0E" w14:textId="77777777" w:rsidTr="004E7C99">
        <w:trPr>
          <w:trHeight w:hRule="exact" w:val="284"/>
        </w:trPr>
        <w:tc>
          <w:tcPr>
            <w:cnfStyle w:val="001000000000" w:firstRow="0" w:lastRow="0" w:firstColumn="1" w:lastColumn="0" w:oddVBand="0" w:evenVBand="0" w:oddHBand="0" w:evenHBand="0" w:firstRowFirstColumn="0" w:firstRowLastColumn="0" w:lastRowFirstColumn="0" w:lastRowLastColumn="0"/>
            <w:tcW w:w="3373" w:type="dxa"/>
            <w:hideMark/>
          </w:tcPr>
          <w:p w14:paraId="4CEA157D" w14:textId="77777777" w:rsidR="000E13E2" w:rsidRPr="00EC2BCC" w:rsidRDefault="000E13E2" w:rsidP="004E7C99">
            <w:pPr>
              <w:spacing w:line="360" w:lineRule="auto"/>
              <w:ind w:firstLine="35"/>
              <w:jc w:val="left"/>
              <w:rPr>
                <w:rFonts w:cs="Times New Roman"/>
                <w:b w:val="0"/>
                <w:bCs w:val="0"/>
                <w:color w:val="000000"/>
                <w:szCs w:val="20"/>
                <w:lang w:val="tr-TR" w:eastAsia="en-GB"/>
              </w:rPr>
            </w:pPr>
            <w:r w:rsidRPr="00EC2BCC">
              <w:rPr>
                <w:rFonts w:cs="Times New Roman"/>
                <w:b w:val="0"/>
                <w:bCs w:val="0"/>
                <w:color w:val="000000"/>
                <w:szCs w:val="20"/>
                <w:lang w:val="en" w:eastAsia="en-GB"/>
              </w:rPr>
              <w:t>Analyze</w:t>
            </w:r>
          </w:p>
        </w:tc>
        <w:tc>
          <w:tcPr>
            <w:tcW w:w="1132" w:type="dxa"/>
            <w:noWrap/>
            <w:vAlign w:val="center"/>
            <w:hideMark/>
          </w:tcPr>
          <w:p w14:paraId="4B473679"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2.79</w:t>
            </w:r>
          </w:p>
        </w:tc>
        <w:tc>
          <w:tcPr>
            <w:tcW w:w="1140" w:type="dxa"/>
            <w:noWrap/>
            <w:vAlign w:val="center"/>
            <w:hideMark/>
          </w:tcPr>
          <w:p w14:paraId="0601A68A"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.91</w:t>
            </w:r>
          </w:p>
        </w:tc>
        <w:tc>
          <w:tcPr>
            <w:tcW w:w="1132" w:type="dxa"/>
            <w:noWrap/>
            <w:vAlign w:val="center"/>
            <w:hideMark/>
          </w:tcPr>
          <w:p w14:paraId="085EA2CD"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3.02</w:t>
            </w:r>
          </w:p>
        </w:tc>
        <w:tc>
          <w:tcPr>
            <w:tcW w:w="1142" w:type="dxa"/>
            <w:noWrap/>
            <w:vAlign w:val="center"/>
            <w:hideMark/>
          </w:tcPr>
          <w:p w14:paraId="31983B76"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.90</w:t>
            </w:r>
          </w:p>
        </w:tc>
      </w:tr>
      <w:tr w:rsidR="000E13E2" w:rsidRPr="00EC2BCC" w14:paraId="4463CE67" w14:textId="77777777" w:rsidTr="004E7C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373" w:type="dxa"/>
            <w:tcBorders>
              <w:top w:val="none" w:sz="0" w:space="0" w:color="auto"/>
              <w:bottom w:val="none" w:sz="0" w:space="0" w:color="auto"/>
            </w:tcBorders>
            <w:hideMark/>
          </w:tcPr>
          <w:p w14:paraId="52D2F6F9" w14:textId="77777777" w:rsidR="000E13E2" w:rsidRPr="00EC2BCC" w:rsidRDefault="000E13E2" w:rsidP="004E7C99">
            <w:pPr>
              <w:spacing w:line="360" w:lineRule="auto"/>
              <w:ind w:firstLine="35"/>
              <w:jc w:val="left"/>
              <w:rPr>
                <w:rFonts w:cs="Times New Roman"/>
                <w:b w:val="0"/>
                <w:bCs w:val="0"/>
                <w:color w:val="000000"/>
                <w:szCs w:val="20"/>
                <w:lang w:val="tr-TR" w:eastAsia="en-GB"/>
              </w:rPr>
            </w:pPr>
            <w:r w:rsidRPr="00EC2BCC">
              <w:rPr>
                <w:rFonts w:cs="Times New Roman"/>
                <w:b w:val="0"/>
                <w:bCs w:val="0"/>
                <w:color w:val="000000"/>
                <w:szCs w:val="20"/>
                <w:lang w:val="en" w:eastAsia="en-GB"/>
              </w:rPr>
              <w:t>Concrete processing</w:t>
            </w:r>
          </w:p>
        </w:tc>
        <w:tc>
          <w:tcPr>
            <w:tcW w:w="1132" w:type="dxa"/>
            <w:tcBorders>
              <w:top w:val="none" w:sz="0" w:space="0" w:color="auto"/>
              <w:bottom w:val="none" w:sz="0" w:space="0" w:color="auto"/>
            </w:tcBorders>
            <w:noWrap/>
            <w:vAlign w:val="center"/>
            <w:hideMark/>
          </w:tcPr>
          <w:p w14:paraId="025994F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3.93</w:t>
            </w:r>
          </w:p>
        </w:tc>
        <w:tc>
          <w:tcPr>
            <w:tcW w:w="1140" w:type="dxa"/>
            <w:tcBorders>
              <w:top w:val="none" w:sz="0" w:space="0" w:color="auto"/>
              <w:bottom w:val="none" w:sz="0" w:space="0" w:color="auto"/>
            </w:tcBorders>
            <w:noWrap/>
            <w:vAlign w:val="center"/>
            <w:hideMark/>
          </w:tcPr>
          <w:p w14:paraId="41B4676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.80</w:t>
            </w:r>
          </w:p>
        </w:tc>
        <w:tc>
          <w:tcPr>
            <w:tcW w:w="1132" w:type="dxa"/>
            <w:tcBorders>
              <w:top w:val="none" w:sz="0" w:space="0" w:color="auto"/>
              <w:bottom w:val="none" w:sz="0" w:space="0" w:color="auto"/>
            </w:tcBorders>
            <w:noWrap/>
            <w:vAlign w:val="center"/>
            <w:hideMark/>
          </w:tcPr>
          <w:p w14:paraId="40F09412"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4.01</w:t>
            </w:r>
          </w:p>
        </w:tc>
        <w:tc>
          <w:tcPr>
            <w:tcW w:w="1142" w:type="dxa"/>
            <w:tcBorders>
              <w:top w:val="none" w:sz="0" w:space="0" w:color="auto"/>
              <w:bottom w:val="none" w:sz="0" w:space="0" w:color="auto"/>
            </w:tcBorders>
            <w:noWrap/>
            <w:vAlign w:val="center"/>
            <w:hideMark/>
          </w:tcPr>
          <w:p w14:paraId="686D4E5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.85</w:t>
            </w:r>
          </w:p>
        </w:tc>
      </w:tr>
    </w:tbl>
    <w:p w14:paraId="719B703E" w14:textId="77777777" w:rsidR="0061751E" w:rsidRPr="006E5717" w:rsidRDefault="0061751E" w:rsidP="00D6757F">
      <w:pPr>
        <w:widowControl w:val="0"/>
        <w:spacing w:line="360" w:lineRule="auto"/>
      </w:pPr>
    </w:p>
    <w:p w14:paraId="6CE01A06" w14:textId="77777777" w:rsidR="000E13E2" w:rsidRPr="00EC2BCC" w:rsidRDefault="000E13E2" w:rsidP="000E13E2">
      <w:pPr>
        <w:pStyle w:val="NormalWeb"/>
        <w:spacing w:line="360" w:lineRule="auto"/>
        <w:jc w:val="both"/>
        <w:rPr>
          <w:sz w:val="20"/>
          <w:szCs w:val="20"/>
        </w:rPr>
      </w:pPr>
      <w:r w:rsidRPr="00EC2BCC">
        <w:rPr>
          <w:sz w:val="20"/>
          <w:szCs w:val="20"/>
          <w:lang w:val="en"/>
        </w:rPr>
        <w:t xml:space="preserve">According to the table above, the process strategies of the </w:t>
      </w:r>
      <w:proofErr w:type="spellStart"/>
      <w:r w:rsidRPr="00EC2BCC">
        <w:rPr>
          <w:sz w:val="20"/>
          <w:szCs w:val="20"/>
        </w:rPr>
        <w:t>aphantasic</w:t>
      </w:r>
      <w:proofErr w:type="spellEnd"/>
      <w:r w:rsidRPr="00EC2BCC">
        <w:rPr>
          <w:sz w:val="20"/>
          <w:szCs w:val="20"/>
          <w:lang w:val="en"/>
        </w:rPr>
        <w:t xml:space="preserve"> people who participated in the study were higher than the process strategies of establishing and regulating, memorizing and repeating than those who were not aphantasia. Critical processing, analysis and concrete processing are lower.</w:t>
      </w:r>
    </w:p>
    <w:p w14:paraId="6C535B14" w14:textId="77777777" w:rsidR="000E13E2" w:rsidRPr="00EC2BCC" w:rsidRDefault="000E13E2" w:rsidP="000E13E2">
      <w:pPr>
        <w:pStyle w:val="NormalWeb"/>
        <w:spacing w:before="0" w:beforeAutospacing="0" w:after="120" w:afterAutospacing="0" w:line="360" w:lineRule="auto"/>
        <w:jc w:val="both"/>
        <w:rPr>
          <w:sz w:val="20"/>
          <w:szCs w:val="20"/>
        </w:rPr>
      </w:pPr>
      <w:r w:rsidRPr="000E13E2">
        <w:rPr>
          <w:bCs/>
          <w:sz w:val="20"/>
          <w:szCs w:val="20"/>
          <w:lang w:val="en"/>
        </w:rPr>
        <w:t>Table 5.</w:t>
      </w:r>
      <w:r w:rsidRPr="00EC2BCC">
        <w:rPr>
          <w:sz w:val="20"/>
          <w:szCs w:val="20"/>
          <w:lang w:val="en"/>
        </w:rPr>
        <w:t xml:space="preserve"> Average and standard deviation values of responses of individuals with and without </w:t>
      </w:r>
      <w:proofErr w:type="spellStart"/>
      <w:r w:rsidRPr="00EC2BCC">
        <w:rPr>
          <w:sz w:val="20"/>
          <w:szCs w:val="20"/>
        </w:rPr>
        <w:t>aphantasic</w:t>
      </w:r>
      <w:proofErr w:type="spellEnd"/>
      <w:r w:rsidRPr="00EC2BCC">
        <w:rPr>
          <w:sz w:val="20"/>
          <w:szCs w:val="20"/>
          <w:lang w:val="en"/>
        </w:rPr>
        <w:t xml:space="preserve"> to subcategory of regulation strategies of their LSs. </w:t>
      </w:r>
    </w:p>
    <w:tbl>
      <w:tblPr>
        <w:tblStyle w:val="DzTablo2"/>
        <w:tblW w:w="9356" w:type="dxa"/>
        <w:tblLayout w:type="fixed"/>
        <w:tblLook w:val="04A0" w:firstRow="1" w:lastRow="0" w:firstColumn="1" w:lastColumn="0" w:noHBand="0" w:noVBand="1"/>
      </w:tblPr>
      <w:tblGrid>
        <w:gridCol w:w="4395"/>
        <w:gridCol w:w="1275"/>
        <w:gridCol w:w="1276"/>
        <w:gridCol w:w="1276"/>
        <w:gridCol w:w="1134"/>
      </w:tblGrid>
      <w:tr w:rsidR="000E13E2" w:rsidRPr="00EC2BCC" w14:paraId="6C5B1A4E" w14:textId="77777777" w:rsidTr="004E7C9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7F7F7F" w:themeColor="text1" w:themeTint="80"/>
              <w:bottom w:val="nil"/>
            </w:tcBorders>
            <w:noWrap/>
            <w:hideMark/>
          </w:tcPr>
          <w:p w14:paraId="68F7FB2F" w14:textId="77777777" w:rsidR="000E13E2" w:rsidRPr="00EC2BCC" w:rsidRDefault="000E13E2" w:rsidP="004E7C99">
            <w:pPr>
              <w:spacing w:line="360" w:lineRule="auto"/>
              <w:jc w:val="center"/>
              <w:rPr>
                <w:rFonts w:cs="Times New Roman"/>
                <w:color w:val="000000"/>
                <w:szCs w:val="20"/>
                <w:lang w:val="tr-TR" w:eastAsia="en-GB"/>
              </w:rPr>
            </w:pPr>
          </w:p>
        </w:tc>
        <w:tc>
          <w:tcPr>
            <w:tcW w:w="2551" w:type="dxa"/>
            <w:gridSpan w:val="2"/>
            <w:tcBorders>
              <w:top w:val="single" w:sz="4" w:space="0" w:color="7F7F7F" w:themeColor="text1" w:themeTint="80"/>
              <w:bottom w:val="single" w:sz="4" w:space="0" w:color="auto"/>
            </w:tcBorders>
            <w:hideMark/>
          </w:tcPr>
          <w:p w14:paraId="0C6C1A49"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proofErr w:type="spellStart"/>
            <w:r w:rsidRPr="00EC2BCC">
              <w:rPr>
                <w:rFonts w:cs="Times New Roman"/>
                <w:bCs w:val="0"/>
                <w:color w:val="000000"/>
                <w:szCs w:val="20"/>
                <w:lang w:val="tr-TR" w:eastAsia="en-GB"/>
              </w:rPr>
              <w:t>Aphantasic</w:t>
            </w:r>
            <w:proofErr w:type="spellEnd"/>
          </w:p>
        </w:tc>
        <w:tc>
          <w:tcPr>
            <w:tcW w:w="2410" w:type="dxa"/>
            <w:gridSpan w:val="2"/>
            <w:tcBorders>
              <w:top w:val="single" w:sz="4" w:space="0" w:color="7F7F7F" w:themeColor="text1" w:themeTint="80"/>
              <w:bottom w:val="single" w:sz="4" w:space="0" w:color="auto"/>
            </w:tcBorders>
            <w:hideMark/>
          </w:tcPr>
          <w:p w14:paraId="2A391EB0"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r w:rsidRPr="00EC2BCC">
              <w:rPr>
                <w:rFonts w:cs="Times New Roman"/>
                <w:bCs w:val="0"/>
                <w:color w:val="000000"/>
                <w:szCs w:val="20"/>
                <w:lang w:val="en" w:eastAsia="en-GB"/>
              </w:rPr>
              <w:t xml:space="preserve">Not </w:t>
            </w:r>
            <w:proofErr w:type="spellStart"/>
            <w:r w:rsidRPr="00EC2BCC">
              <w:rPr>
                <w:rFonts w:cs="Times New Roman"/>
                <w:bCs w:val="0"/>
                <w:color w:val="000000"/>
                <w:szCs w:val="20"/>
                <w:lang w:val="tr-TR" w:eastAsia="en-GB"/>
              </w:rPr>
              <w:t>aphantasic</w:t>
            </w:r>
            <w:proofErr w:type="spellEnd"/>
          </w:p>
        </w:tc>
      </w:tr>
      <w:tr w:rsidR="000E13E2" w:rsidRPr="00EC2BCC" w14:paraId="51F02EFA" w14:textId="77777777" w:rsidTr="004E7C9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395" w:type="dxa"/>
            <w:tcBorders>
              <w:top w:val="nil"/>
            </w:tcBorders>
            <w:noWrap/>
            <w:hideMark/>
          </w:tcPr>
          <w:p w14:paraId="7E0D1067" w14:textId="77777777" w:rsidR="000E13E2" w:rsidRPr="00EC2BCC" w:rsidRDefault="000E13E2" w:rsidP="004E7C99">
            <w:pPr>
              <w:spacing w:line="360" w:lineRule="auto"/>
              <w:jc w:val="center"/>
              <w:rPr>
                <w:rFonts w:cs="Times New Roman"/>
                <w:color w:val="000000"/>
                <w:szCs w:val="20"/>
                <w:lang w:val="tr-TR" w:eastAsia="en-GB"/>
              </w:rPr>
            </w:pPr>
          </w:p>
        </w:tc>
        <w:tc>
          <w:tcPr>
            <w:tcW w:w="1275" w:type="dxa"/>
            <w:tcBorders>
              <w:top w:val="single" w:sz="4" w:space="0" w:color="auto"/>
            </w:tcBorders>
            <w:vAlign w:val="center"/>
            <w:hideMark/>
          </w:tcPr>
          <w:p w14:paraId="563B392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276" w:type="dxa"/>
            <w:tcBorders>
              <w:top w:val="single" w:sz="4" w:space="0" w:color="auto"/>
            </w:tcBorders>
            <w:vAlign w:val="center"/>
            <w:hideMark/>
          </w:tcPr>
          <w:p w14:paraId="390D53A2" w14:textId="77777777" w:rsidR="000E13E2" w:rsidRPr="00EC2BCC" w:rsidRDefault="000E13E2" w:rsidP="004E7C99">
            <w:pPr>
              <w:spacing w:line="36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w:t>
            </w:r>
          </w:p>
        </w:tc>
        <w:tc>
          <w:tcPr>
            <w:tcW w:w="1276" w:type="dxa"/>
            <w:tcBorders>
              <w:top w:val="single" w:sz="4" w:space="0" w:color="auto"/>
            </w:tcBorders>
            <w:vAlign w:val="center"/>
            <w:hideMark/>
          </w:tcPr>
          <w:p w14:paraId="4F4E30F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134" w:type="dxa"/>
            <w:tcBorders>
              <w:top w:val="single" w:sz="4" w:space="0" w:color="auto"/>
            </w:tcBorders>
            <w:vAlign w:val="center"/>
            <w:hideMark/>
          </w:tcPr>
          <w:p w14:paraId="05BA2A2A" w14:textId="77777777" w:rsidR="000E13E2" w:rsidRPr="00EC2BCC" w:rsidRDefault="000E13E2" w:rsidP="004E7C99">
            <w:pPr>
              <w:spacing w:line="36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w:t>
            </w:r>
          </w:p>
        </w:tc>
      </w:tr>
      <w:tr w:rsidR="000E13E2" w:rsidRPr="00EC2BCC" w14:paraId="4E9E9FE4" w14:textId="77777777" w:rsidTr="004E7C99">
        <w:trPr>
          <w:trHeight w:val="273"/>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7F7F7F" w:themeColor="text1" w:themeTint="80"/>
            </w:tcBorders>
          </w:tcPr>
          <w:p w14:paraId="0646FC9F" w14:textId="77777777" w:rsidR="000E13E2" w:rsidRPr="00EC2BCC" w:rsidRDefault="000E13E2" w:rsidP="004E7C99">
            <w:pPr>
              <w:spacing w:line="360" w:lineRule="auto"/>
              <w:ind w:firstLine="0"/>
              <w:rPr>
                <w:rFonts w:cs="Times New Roman"/>
                <w:b w:val="0"/>
                <w:bCs w:val="0"/>
                <w:color w:val="000000"/>
                <w:szCs w:val="20"/>
                <w:lang w:val="tr-TR" w:eastAsia="en-GB"/>
              </w:rPr>
            </w:pPr>
            <w:r w:rsidRPr="00EC2BCC">
              <w:rPr>
                <w:rFonts w:cs="Times New Roman"/>
                <w:color w:val="000000"/>
                <w:szCs w:val="20"/>
                <w:lang w:val="en" w:eastAsia="en-GB"/>
              </w:rPr>
              <w:t>Editing strategies</w:t>
            </w:r>
          </w:p>
        </w:tc>
        <w:tc>
          <w:tcPr>
            <w:tcW w:w="1275" w:type="dxa"/>
            <w:tcBorders>
              <w:top w:val="single" w:sz="4" w:space="0" w:color="7F7F7F" w:themeColor="text1" w:themeTint="80"/>
            </w:tcBorders>
            <w:noWrap/>
            <w:vAlign w:val="center"/>
          </w:tcPr>
          <w:p w14:paraId="6C562465"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3.29</w:t>
            </w:r>
          </w:p>
        </w:tc>
        <w:tc>
          <w:tcPr>
            <w:tcW w:w="1276" w:type="dxa"/>
            <w:tcBorders>
              <w:top w:val="single" w:sz="4" w:space="0" w:color="7F7F7F" w:themeColor="text1" w:themeTint="80"/>
            </w:tcBorders>
            <w:noWrap/>
            <w:vAlign w:val="center"/>
          </w:tcPr>
          <w:p w14:paraId="3FBF1F3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.59</w:t>
            </w:r>
          </w:p>
        </w:tc>
        <w:tc>
          <w:tcPr>
            <w:tcW w:w="1276" w:type="dxa"/>
            <w:tcBorders>
              <w:top w:val="single" w:sz="4" w:space="0" w:color="7F7F7F" w:themeColor="text1" w:themeTint="80"/>
            </w:tcBorders>
            <w:noWrap/>
            <w:vAlign w:val="center"/>
          </w:tcPr>
          <w:p w14:paraId="221D69CF"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3.41</w:t>
            </w:r>
          </w:p>
        </w:tc>
        <w:tc>
          <w:tcPr>
            <w:tcW w:w="1134" w:type="dxa"/>
            <w:tcBorders>
              <w:top w:val="single" w:sz="4" w:space="0" w:color="7F7F7F" w:themeColor="text1" w:themeTint="80"/>
            </w:tcBorders>
            <w:noWrap/>
            <w:vAlign w:val="center"/>
          </w:tcPr>
          <w:p w14:paraId="5D70E21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.66</w:t>
            </w:r>
          </w:p>
        </w:tc>
      </w:tr>
      <w:tr w:rsidR="000E13E2" w:rsidRPr="00EC2BCC" w14:paraId="30B79A10" w14:textId="77777777" w:rsidTr="004E7C9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395" w:type="dxa"/>
            <w:tcBorders>
              <w:top w:val="none" w:sz="0" w:space="0" w:color="auto"/>
              <w:bottom w:val="none" w:sz="0" w:space="0" w:color="auto"/>
            </w:tcBorders>
            <w:hideMark/>
          </w:tcPr>
          <w:p w14:paraId="3668BA42"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Self-regulation of learning processes and outcomes</w:t>
            </w:r>
          </w:p>
        </w:tc>
        <w:tc>
          <w:tcPr>
            <w:tcW w:w="1275" w:type="dxa"/>
            <w:tcBorders>
              <w:top w:val="none" w:sz="0" w:space="0" w:color="auto"/>
              <w:bottom w:val="none" w:sz="0" w:space="0" w:color="auto"/>
            </w:tcBorders>
            <w:noWrap/>
            <w:vAlign w:val="center"/>
          </w:tcPr>
          <w:p w14:paraId="6ABE33F1"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3.36</w:t>
            </w:r>
          </w:p>
        </w:tc>
        <w:tc>
          <w:tcPr>
            <w:tcW w:w="1276" w:type="dxa"/>
            <w:tcBorders>
              <w:top w:val="none" w:sz="0" w:space="0" w:color="auto"/>
              <w:bottom w:val="none" w:sz="0" w:space="0" w:color="auto"/>
            </w:tcBorders>
            <w:noWrap/>
            <w:vAlign w:val="center"/>
          </w:tcPr>
          <w:p w14:paraId="1DDB86B6"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1.02</w:t>
            </w:r>
          </w:p>
        </w:tc>
        <w:tc>
          <w:tcPr>
            <w:tcW w:w="1276" w:type="dxa"/>
            <w:tcBorders>
              <w:top w:val="none" w:sz="0" w:space="0" w:color="auto"/>
              <w:bottom w:val="none" w:sz="0" w:space="0" w:color="auto"/>
            </w:tcBorders>
            <w:noWrap/>
            <w:vAlign w:val="center"/>
          </w:tcPr>
          <w:p w14:paraId="09CBA5A6"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3.65</w:t>
            </w:r>
          </w:p>
        </w:tc>
        <w:tc>
          <w:tcPr>
            <w:tcW w:w="1134" w:type="dxa"/>
            <w:tcBorders>
              <w:top w:val="none" w:sz="0" w:space="0" w:color="auto"/>
              <w:bottom w:val="none" w:sz="0" w:space="0" w:color="auto"/>
            </w:tcBorders>
            <w:noWrap/>
            <w:vAlign w:val="center"/>
          </w:tcPr>
          <w:p w14:paraId="649E874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.90</w:t>
            </w:r>
          </w:p>
        </w:tc>
      </w:tr>
      <w:tr w:rsidR="000E13E2" w:rsidRPr="00EC2BCC" w14:paraId="1EF01447" w14:textId="77777777" w:rsidTr="004E7C99">
        <w:trPr>
          <w:trHeight w:val="273"/>
        </w:trPr>
        <w:tc>
          <w:tcPr>
            <w:cnfStyle w:val="001000000000" w:firstRow="0" w:lastRow="0" w:firstColumn="1" w:lastColumn="0" w:oddVBand="0" w:evenVBand="0" w:oddHBand="0" w:evenHBand="0" w:firstRowFirstColumn="0" w:firstRowLastColumn="0" w:lastRowFirstColumn="0" w:lastRowLastColumn="0"/>
            <w:tcW w:w="4395" w:type="dxa"/>
            <w:hideMark/>
          </w:tcPr>
          <w:p w14:paraId="0E9E1C4D"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Self-regulation of learning content</w:t>
            </w:r>
          </w:p>
        </w:tc>
        <w:tc>
          <w:tcPr>
            <w:tcW w:w="1275" w:type="dxa"/>
            <w:noWrap/>
            <w:vAlign w:val="center"/>
          </w:tcPr>
          <w:p w14:paraId="62B06A32"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3.36</w:t>
            </w:r>
          </w:p>
        </w:tc>
        <w:tc>
          <w:tcPr>
            <w:tcW w:w="1276" w:type="dxa"/>
            <w:noWrap/>
            <w:vAlign w:val="center"/>
          </w:tcPr>
          <w:p w14:paraId="24E6F12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.93</w:t>
            </w:r>
          </w:p>
        </w:tc>
        <w:tc>
          <w:tcPr>
            <w:tcW w:w="1276" w:type="dxa"/>
            <w:noWrap/>
            <w:vAlign w:val="center"/>
          </w:tcPr>
          <w:p w14:paraId="4ABE6213"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3.47</w:t>
            </w:r>
          </w:p>
        </w:tc>
        <w:tc>
          <w:tcPr>
            <w:tcW w:w="1134" w:type="dxa"/>
            <w:noWrap/>
            <w:vAlign w:val="center"/>
          </w:tcPr>
          <w:p w14:paraId="04C544E1"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.96</w:t>
            </w:r>
          </w:p>
        </w:tc>
      </w:tr>
      <w:tr w:rsidR="000E13E2" w:rsidRPr="00EC2BCC" w14:paraId="27AC7E45" w14:textId="77777777" w:rsidTr="004E7C9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395" w:type="dxa"/>
            <w:tcBorders>
              <w:top w:val="none" w:sz="0" w:space="0" w:color="auto"/>
              <w:bottom w:val="none" w:sz="0" w:space="0" w:color="auto"/>
            </w:tcBorders>
            <w:hideMark/>
          </w:tcPr>
          <w:p w14:paraId="7B46A588"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Extrinsic regulation in learning processes</w:t>
            </w:r>
          </w:p>
        </w:tc>
        <w:tc>
          <w:tcPr>
            <w:tcW w:w="1275" w:type="dxa"/>
            <w:tcBorders>
              <w:top w:val="none" w:sz="0" w:space="0" w:color="auto"/>
              <w:bottom w:val="none" w:sz="0" w:space="0" w:color="auto"/>
            </w:tcBorders>
            <w:noWrap/>
            <w:vAlign w:val="center"/>
          </w:tcPr>
          <w:p w14:paraId="60494605"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3.07</w:t>
            </w:r>
          </w:p>
        </w:tc>
        <w:tc>
          <w:tcPr>
            <w:tcW w:w="1276" w:type="dxa"/>
            <w:tcBorders>
              <w:top w:val="none" w:sz="0" w:space="0" w:color="auto"/>
              <w:bottom w:val="none" w:sz="0" w:space="0" w:color="auto"/>
            </w:tcBorders>
            <w:noWrap/>
            <w:vAlign w:val="center"/>
          </w:tcPr>
          <w:p w14:paraId="76101224"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.78</w:t>
            </w:r>
          </w:p>
        </w:tc>
        <w:tc>
          <w:tcPr>
            <w:tcW w:w="1276" w:type="dxa"/>
            <w:tcBorders>
              <w:top w:val="none" w:sz="0" w:space="0" w:color="auto"/>
              <w:bottom w:val="none" w:sz="0" w:space="0" w:color="auto"/>
            </w:tcBorders>
            <w:noWrap/>
            <w:vAlign w:val="center"/>
          </w:tcPr>
          <w:p w14:paraId="6194F79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3.08</w:t>
            </w:r>
          </w:p>
        </w:tc>
        <w:tc>
          <w:tcPr>
            <w:tcW w:w="1134" w:type="dxa"/>
            <w:tcBorders>
              <w:top w:val="none" w:sz="0" w:space="0" w:color="auto"/>
              <w:bottom w:val="none" w:sz="0" w:space="0" w:color="auto"/>
            </w:tcBorders>
            <w:noWrap/>
            <w:vAlign w:val="center"/>
          </w:tcPr>
          <w:p w14:paraId="2AEB807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.92</w:t>
            </w:r>
          </w:p>
        </w:tc>
      </w:tr>
      <w:tr w:rsidR="000E13E2" w:rsidRPr="00EC2BCC" w14:paraId="6EE9A443" w14:textId="77777777" w:rsidTr="004E7C99">
        <w:trPr>
          <w:trHeight w:val="273"/>
        </w:trPr>
        <w:tc>
          <w:tcPr>
            <w:cnfStyle w:val="001000000000" w:firstRow="0" w:lastRow="0" w:firstColumn="1" w:lastColumn="0" w:oddVBand="0" w:evenVBand="0" w:oddHBand="0" w:evenHBand="0" w:firstRowFirstColumn="0" w:firstRowLastColumn="0" w:lastRowFirstColumn="0" w:lastRowLastColumn="0"/>
            <w:tcW w:w="4395" w:type="dxa"/>
            <w:hideMark/>
          </w:tcPr>
          <w:p w14:paraId="1F74EE84"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External regulation of learning outcomes</w:t>
            </w:r>
          </w:p>
        </w:tc>
        <w:tc>
          <w:tcPr>
            <w:tcW w:w="1275" w:type="dxa"/>
            <w:noWrap/>
            <w:vAlign w:val="center"/>
          </w:tcPr>
          <w:p w14:paraId="63EF0270"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3.45</w:t>
            </w:r>
          </w:p>
        </w:tc>
        <w:tc>
          <w:tcPr>
            <w:tcW w:w="1276" w:type="dxa"/>
            <w:noWrap/>
            <w:vAlign w:val="center"/>
          </w:tcPr>
          <w:p w14:paraId="633D5D46"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.75</w:t>
            </w:r>
          </w:p>
        </w:tc>
        <w:tc>
          <w:tcPr>
            <w:tcW w:w="1276" w:type="dxa"/>
            <w:noWrap/>
            <w:vAlign w:val="center"/>
          </w:tcPr>
          <w:p w14:paraId="4430376C"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3.60</w:t>
            </w:r>
          </w:p>
        </w:tc>
        <w:tc>
          <w:tcPr>
            <w:tcW w:w="1134" w:type="dxa"/>
            <w:noWrap/>
            <w:vAlign w:val="center"/>
          </w:tcPr>
          <w:p w14:paraId="08CB00C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.68</w:t>
            </w:r>
          </w:p>
        </w:tc>
      </w:tr>
      <w:tr w:rsidR="000E13E2" w:rsidRPr="00EC2BCC" w14:paraId="6D487EB7" w14:textId="77777777" w:rsidTr="004E7C9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395" w:type="dxa"/>
            <w:tcBorders>
              <w:top w:val="none" w:sz="0" w:space="0" w:color="auto"/>
              <w:bottom w:val="none" w:sz="0" w:space="0" w:color="auto"/>
            </w:tcBorders>
            <w:hideMark/>
          </w:tcPr>
          <w:p w14:paraId="144F939B"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Lack of regulation</w:t>
            </w:r>
          </w:p>
        </w:tc>
        <w:tc>
          <w:tcPr>
            <w:tcW w:w="1275" w:type="dxa"/>
            <w:tcBorders>
              <w:top w:val="none" w:sz="0" w:space="0" w:color="auto"/>
              <w:bottom w:val="none" w:sz="0" w:space="0" w:color="auto"/>
            </w:tcBorders>
            <w:noWrap/>
            <w:vAlign w:val="center"/>
          </w:tcPr>
          <w:p w14:paraId="4BDE5F2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3.26</w:t>
            </w:r>
          </w:p>
        </w:tc>
        <w:tc>
          <w:tcPr>
            <w:tcW w:w="1276" w:type="dxa"/>
            <w:tcBorders>
              <w:top w:val="none" w:sz="0" w:space="0" w:color="auto"/>
              <w:bottom w:val="none" w:sz="0" w:space="0" w:color="auto"/>
            </w:tcBorders>
            <w:noWrap/>
            <w:vAlign w:val="center"/>
          </w:tcPr>
          <w:p w14:paraId="2CF422D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.72</w:t>
            </w:r>
          </w:p>
        </w:tc>
        <w:tc>
          <w:tcPr>
            <w:tcW w:w="1276" w:type="dxa"/>
            <w:tcBorders>
              <w:top w:val="none" w:sz="0" w:space="0" w:color="auto"/>
              <w:bottom w:val="none" w:sz="0" w:space="0" w:color="auto"/>
            </w:tcBorders>
            <w:noWrap/>
            <w:vAlign w:val="center"/>
          </w:tcPr>
          <w:p w14:paraId="2CE9989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3.31</w:t>
            </w:r>
          </w:p>
        </w:tc>
        <w:tc>
          <w:tcPr>
            <w:tcW w:w="1134" w:type="dxa"/>
            <w:tcBorders>
              <w:top w:val="none" w:sz="0" w:space="0" w:color="auto"/>
              <w:bottom w:val="none" w:sz="0" w:space="0" w:color="auto"/>
            </w:tcBorders>
            <w:noWrap/>
            <w:vAlign w:val="center"/>
          </w:tcPr>
          <w:p w14:paraId="18902783"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.87</w:t>
            </w:r>
          </w:p>
        </w:tc>
      </w:tr>
    </w:tbl>
    <w:p w14:paraId="6795946B" w14:textId="77777777" w:rsidR="000E13E2" w:rsidRPr="00EC2BCC" w:rsidRDefault="000E13E2" w:rsidP="000E13E2">
      <w:pPr>
        <w:spacing w:before="100" w:beforeAutospacing="1" w:after="100" w:afterAutospacing="1" w:line="360" w:lineRule="auto"/>
        <w:rPr>
          <w:rFonts w:cs="Times New Roman"/>
          <w:szCs w:val="20"/>
          <w:lang w:val="en" w:eastAsia="tr-TR"/>
        </w:rPr>
      </w:pPr>
      <w:r w:rsidRPr="00EC2BCC">
        <w:rPr>
          <w:rFonts w:cs="Times New Roman"/>
          <w:szCs w:val="20"/>
          <w:lang w:val="en" w:eastAsia="tr-TR"/>
        </w:rPr>
        <w:t>According to Table 5</w:t>
      </w:r>
      <w:r w:rsidRPr="00EC2BCC">
        <w:rPr>
          <w:rFonts w:cs="Times New Roman"/>
          <w:szCs w:val="20"/>
          <w:lang w:val="en"/>
        </w:rPr>
        <w:t xml:space="preserve">, the average of </w:t>
      </w:r>
      <w:r w:rsidRPr="00EC2BCC">
        <w:rPr>
          <w:rFonts w:cs="Times New Roman"/>
          <w:szCs w:val="20"/>
          <w:lang w:val="en" w:eastAsia="tr-TR"/>
        </w:rPr>
        <w:t>the Regulation Strategies for non-</w:t>
      </w:r>
      <w:r w:rsidRPr="00EC2BCC">
        <w:rPr>
          <w:rFonts w:cs="Times New Roman"/>
          <w:color w:val="000000"/>
          <w:szCs w:val="20"/>
          <w:lang w:eastAsia="en-GB"/>
        </w:rPr>
        <w:t xml:space="preserve"> </w:t>
      </w:r>
      <w:r w:rsidRPr="00EC2BCC">
        <w:rPr>
          <w:rFonts w:cs="Times New Roman"/>
          <w:szCs w:val="20"/>
          <w:lang w:eastAsia="tr-TR"/>
        </w:rPr>
        <w:t>aphantasic</w:t>
      </w:r>
      <w:r w:rsidRPr="00EC2BCC">
        <w:rPr>
          <w:rFonts w:cs="Times New Roman"/>
          <w:szCs w:val="20"/>
          <w:lang w:val="en" w:eastAsia="tr-TR"/>
        </w:rPr>
        <w:t xml:space="preserve"> </w:t>
      </w:r>
      <w:r w:rsidRPr="00EC2BCC">
        <w:rPr>
          <w:rFonts w:cs="Times New Roman"/>
          <w:szCs w:val="20"/>
          <w:lang w:val="en"/>
        </w:rPr>
        <w:t xml:space="preserve">people </w:t>
      </w:r>
      <w:r w:rsidRPr="00EC2BCC">
        <w:rPr>
          <w:rFonts w:cs="Times New Roman"/>
          <w:szCs w:val="20"/>
          <w:lang w:val="en" w:eastAsia="tr-TR"/>
        </w:rPr>
        <w:t>according to the learning processes and content of internal and external regulation and lack of regulation is lower than for non-</w:t>
      </w:r>
      <w:r w:rsidRPr="00EC2BCC">
        <w:rPr>
          <w:rFonts w:cs="Times New Roman"/>
          <w:color w:val="000000"/>
          <w:szCs w:val="20"/>
          <w:lang w:eastAsia="en-GB"/>
        </w:rPr>
        <w:t xml:space="preserve"> </w:t>
      </w:r>
      <w:r w:rsidRPr="00EC2BCC">
        <w:rPr>
          <w:rFonts w:cs="Times New Roman"/>
          <w:szCs w:val="20"/>
          <w:lang w:eastAsia="tr-TR"/>
        </w:rPr>
        <w:t>aphantasic</w:t>
      </w:r>
      <w:r w:rsidRPr="00EC2BCC">
        <w:rPr>
          <w:rFonts w:cs="Times New Roman"/>
          <w:szCs w:val="20"/>
          <w:lang w:val="en" w:eastAsia="tr-TR"/>
        </w:rPr>
        <w:t xml:space="preserve"> people.</w:t>
      </w:r>
    </w:p>
    <w:p w14:paraId="706BB2B2" w14:textId="77777777" w:rsidR="000E13E2" w:rsidRDefault="000E13E2" w:rsidP="000E13E2">
      <w:pPr>
        <w:pStyle w:val="NormalWeb"/>
        <w:spacing w:line="360" w:lineRule="auto"/>
        <w:jc w:val="both"/>
        <w:rPr>
          <w:sz w:val="20"/>
          <w:szCs w:val="20"/>
          <w:lang w:val="en"/>
        </w:rPr>
      </w:pPr>
      <w:r w:rsidRPr="000E13E2">
        <w:rPr>
          <w:bCs/>
          <w:sz w:val="20"/>
          <w:szCs w:val="20"/>
          <w:lang w:val="en"/>
        </w:rPr>
        <w:t>Table 6.</w:t>
      </w:r>
      <w:r w:rsidRPr="00EC2BCC">
        <w:rPr>
          <w:sz w:val="20"/>
          <w:szCs w:val="20"/>
          <w:lang w:val="en"/>
        </w:rPr>
        <w:t xml:space="preserve"> The mean and standard deviation rates of responses of LSs of aphantasic and non-</w:t>
      </w:r>
      <w:proofErr w:type="spellStart"/>
      <w:r w:rsidRPr="00EC2BCC">
        <w:rPr>
          <w:sz w:val="20"/>
          <w:szCs w:val="20"/>
          <w:lang w:val="en"/>
        </w:rPr>
        <w:t>aphanatic</w:t>
      </w:r>
      <w:proofErr w:type="spellEnd"/>
      <w:r w:rsidRPr="00EC2BCC">
        <w:rPr>
          <w:sz w:val="20"/>
          <w:szCs w:val="20"/>
          <w:lang w:val="en"/>
        </w:rPr>
        <w:t xml:space="preserve"> individuals to subcategory of mental model in learning. </w:t>
      </w:r>
    </w:p>
    <w:tbl>
      <w:tblPr>
        <w:tblStyle w:val="DzTablo2"/>
        <w:tblW w:w="8072" w:type="dxa"/>
        <w:jc w:val="center"/>
        <w:tblLayout w:type="fixed"/>
        <w:tblLook w:val="04A0" w:firstRow="1" w:lastRow="0" w:firstColumn="1" w:lastColumn="0" w:noHBand="0" w:noVBand="1"/>
      </w:tblPr>
      <w:tblGrid>
        <w:gridCol w:w="2835"/>
        <w:gridCol w:w="1276"/>
        <w:gridCol w:w="1276"/>
        <w:gridCol w:w="1276"/>
        <w:gridCol w:w="1409"/>
      </w:tblGrid>
      <w:tr w:rsidR="000E13E2" w:rsidRPr="00EC2BCC" w14:paraId="18061A33" w14:textId="77777777" w:rsidTr="004E7C99">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7F7F7F" w:themeColor="text1" w:themeTint="80"/>
              <w:bottom w:val="nil"/>
            </w:tcBorders>
            <w:noWrap/>
            <w:hideMark/>
          </w:tcPr>
          <w:p w14:paraId="396B81B9" w14:textId="77777777" w:rsidR="000E13E2" w:rsidRPr="00EC2BCC" w:rsidRDefault="000E13E2" w:rsidP="004E7C99">
            <w:pPr>
              <w:spacing w:line="360" w:lineRule="auto"/>
              <w:jc w:val="center"/>
              <w:rPr>
                <w:rFonts w:cs="Times New Roman"/>
                <w:color w:val="000000"/>
                <w:szCs w:val="20"/>
                <w:lang w:val="tr-TR" w:eastAsia="en-GB"/>
              </w:rPr>
            </w:pPr>
          </w:p>
        </w:tc>
        <w:tc>
          <w:tcPr>
            <w:tcW w:w="2552" w:type="dxa"/>
            <w:gridSpan w:val="2"/>
            <w:tcBorders>
              <w:top w:val="single" w:sz="4" w:space="0" w:color="7F7F7F" w:themeColor="text1" w:themeTint="80"/>
              <w:bottom w:val="single" w:sz="4" w:space="0" w:color="auto"/>
            </w:tcBorders>
            <w:hideMark/>
          </w:tcPr>
          <w:p w14:paraId="6C5C6268"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proofErr w:type="spellStart"/>
            <w:r w:rsidRPr="00EC2BCC">
              <w:rPr>
                <w:rFonts w:cs="Times New Roman"/>
                <w:bCs w:val="0"/>
                <w:color w:val="000000"/>
                <w:szCs w:val="20"/>
                <w:lang w:val="tr-TR" w:eastAsia="en-GB"/>
              </w:rPr>
              <w:t>Aphantasic</w:t>
            </w:r>
            <w:proofErr w:type="spellEnd"/>
          </w:p>
        </w:tc>
        <w:tc>
          <w:tcPr>
            <w:tcW w:w="2685" w:type="dxa"/>
            <w:gridSpan w:val="2"/>
            <w:tcBorders>
              <w:top w:val="single" w:sz="4" w:space="0" w:color="7F7F7F" w:themeColor="text1" w:themeTint="80"/>
              <w:bottom w:val="single" w:sz="4" w:space="0" w:color="auto"/>
            </w:tcBorders>
            <w:hideMark/>
          </w:tcPr>
          <w:p w14:paraId="2F382592"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r w:rsidRPr="00EC2BCC">
              <w:rPr>
                <w:rFonts w:cs="Times New Roman"/>
                <w:bCs w:val="0"/>
                <w:color w:val="000000"/>
                <w:szCs w:val="20"/>
                <w:lang w:val="en" w:eastAsia="en-GB"/>
              </w:rPr>
              <w:t xml:space="preserve">Not </w:t>
            </w:r>
            <w:proofErr w:type="spellStart"/>
            <w:r w:rsidRPr="00EC2BCC">
              <w:rPr>
                <w:rFonts w:cs="Times New Roman"/>
                <w:bCs w:val="0"/>
                <w:color w:val="000000"/>
                <w:szCs w:val="20"/>
                <w:lang w:val="tr-TR" w:eastAsia="en-GB"/>
              </w:rPr>
              <w:t>aphantasic</w:t>
            </w:r>
            <w:proofErr w:type="spellEnd"/>
          </w:p>
        </w:tc>
      </w:tr>
      <w:tr w:rsidR="000E13E2" w:rsidRPr="00EC2BCC" w14:paraId="28D7FCC5" w14:textId="77777777" w:rsidTr="004E7C9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tcBorders>
            <w:noWrap/>
            <w:hideMark/>
          </w:tcPr>
          <w:p w14:paraId="3D27C6EE" w14:textId="77777777" w:rsidR="000E13E2" w:rsidRPr="00EC2BCC" w:rsidRDefault="000E13E2" w:rsidP="004E7C99">
            <w:pPr>
              <w:spacing w:line="360" w:lineRule="auto"/>
              <w:jc w:val="center"/>
              <w:rPr>
                <w:rFonts w:cs="Times New Roman"/>
                <w:color w:val="000000"/>
                <w:szCs w:val="20"/>
                <w:lang w:val="tr-TR" w:eastAsia="en-GB"/>
              </w:rPr>
            </w:pPr>
          </w:p>
        </w:tc>
        <w:tc>
          <w:tcPr>
            <w:tcW w:w="1276" w:type="dxa"/>
            <w:tcBorders>
              <w:top w:val="single" w:sz="4" w:space="0" w:color="auto"/>
            </w:tcBorders>
            <w:vAlign w:val="center"/>
            <w:hideMark/>
          </w:tcPr>
          <w:p w14:paraId="3A077F5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276" w:type="dxa"/>
            <w:tcBorders>
              <w:top w:val="single" w:sz="4" w:space="0" w:color="auto"/>
            </w:tcBorders>
            <w:vAlign w:val="center"/>
            <w:hideMark/>
          </w:tcPr>
          <w:p w14:paraId="4CACEF24" w14:textId="77777777" w:rsidR="000E13E2" w:rsidRPr="00EC2BCC" w:rsidRDefault="000E13E2" w:rsidP="004E7C99">
            <w:pPr>
              <w:spacing w:line="36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 Deviation</w:t>
            </w:r>
          </w:p>
        </w:tc>
        <w:tc>
          <w:tcPr>
            <w:tcW w:w="1276" w:type="dxa"/>
            <w:tcBorders>
              <w:top w:val="single" w:sz="4" w:space="0" w:color="auto"/>
            </w:tcBorders>
            <w:vAlign w:val="center"/>
            <w:hideMark/>
          </w:tcPr>
          <w:p w14:paraId="215F1D4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409" w:type="dxa"/>
            <w:tcBorders>
              <w:top w:val="single" w:sz="4" w:space="0" w:color="auto"/>
            </w:tcBorders>
            <w:vAlign w:val="center"/>
            <w:hideMark/>
          </w:tcPr>
          <w:p w14:paraId="58F42262" w14:textId="77777777" w:rsidR="000E13E2" w:rsidRPr="00EC2BCC" w:rsidRDefault="000E13E2" w:rsidP="004E7C99">
            <w:pPr>
              <w:spacing w:line="36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w:t>
            </w:r>
          </w:p>
        </w:tc>
      </w:tr>
      <w:tr w:rsidR="000E13E2" w:rsidRPr="00EC2BCC" w14:paraId="30E40BC3" w14:textId="77777777" w:rsidTr="004E7C9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7F7F7F" w:themeColor="text1" w:themeTint="80"/>
            </w:tcBorders>
          </w:tcPr>
          <w:p w14:paraId="0108CC04" w14:textId="77777777" w:rsidR="000E13E2" w:rsidRPr="00EC2BCC" w:rsidRDefault="000E13E2" w:rsidP="004E7C99">
            <w:pPr>
              <w:spacing w:line="360" w:lineRule="auto"/>
              <w:ind w:firstLine="0"/>
              <w:rPr>
                <w:rFonts w:cs="Times New Roman"/>
                <w:b w:val="0"/>
                <w:bCs w:val="0"/>
                <w:color w:val="000000"/>
                <w:szCs w:val="20"/>
                <w:lang w:val="tr-TR" w:eastAsia="en-GB"/>
              </w:rPr>
            </w:pPr>
            <w:r w:rsidRPr="00EC2BCC">
              <w:rPr>
                <w:rFonts w:cs="Times New Roman"/>
                <w:color w:val="000000"/>
                <w:szCs w:val="20"/>
                <w:lang w:val="en" w:eastAsia="en-GB"/>
              </w:rPr>
              <w:t>Mental model in learning</w:t>
            </w:r>
          </w:p>
        </w:tc>
        <w:tc>
          <w:tcPr>
            <w:tcW w:w="1276" w:type="dxa"/>
            <w:tcBorders>
              <w:top w:val="single" w:sz="4" w:space="0" w:color="7F7F7F" w:themeColor="text1" w:themeTint="80"/>
            </w:tcBorders>
            <w:noWrap/>
            <w:vAlign w:val="center"/>
          </w:tcPr>
          <w:p w14:paraId="49875CA4"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3.64</w:t>
            </w:r>
          </w:p>
        </w:tc>
        <w:tc>
          <w:tcPr>
            <w:tcW w:w="1276" w:type="dxa"/>
            <w:tcBorders>
              <w:top w:val="single" w:sz="4" w:space="0" w:color="7F7F7F" w:themeColor="text1" w:themeTint="80"/>
            </w:tcBorders>
            <w:noWrap/>
            <w:vAlign w:val="center"/>
          </w:tcPr>
          <w:p w14:paraId="68F9D95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.44</w:t>
            </w:r>
          </w:p>
        </w:tc>
        <w:tc>
          <w:tcPr>
            <w:tcW w:w="1276" w:type="dxa"/>
            <w:tcBorders>
              <w:top w:val="single" w:sz="4" w:space="0" w:color="7F7F7F" w:themeColor="text1" w:themeTint="80"/>
            </w:tcBorders>
            <w:noWrap/>
            <w:vAlign w:val="center"/>
          </w:tcPr>
          <w:p w14:paraId="5413DB23"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3.75</w:t>
            </w:r>
          </w:p>
        </w:tc>
        <w:tc>
          <w:tcPr>
            <w:tcW w:w="1409" w:type="dxa"/>
            <w:tcBorders>
              <w:top w:val="single" w:sz="4" w:space="0" w:color="7F7F7F" w:themeColor="text1" w:themeTint="80"/>
            </w:tcBorders>
            <w:noWrap/>
            <w:vAlign w:val="center"/>
          </w:tcPr>
          <w:p w14:paraId="18CAA336"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.52</w:t>
            </w:r>
          </w:p>
        </w:tc>
      </w:tr>
      <w:tr w:rsidR="000E13E2" w:rsidRPr="00EC2BCC" w14:paraId="6FB79083" w14:textId="77777777" w:rsidTr="004E7C9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37A3F3B5" w14:textId="77777777" w:rsidR="000E13E2" w:rsidRPr="00EC2BCC" w:rsidRDefault="000E13E2" w:rsidP="004E7C99">
            <w:pPr>
              <w:pStyle w:val="ListeParagraf"/>
              <w:spacing w:line="360" w:lineRule="auto"/>
              <w:ind w:left="0"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Structuring information</w:t>
            </w:r>
          </w:p>
        </w:tc>
        <w:tc>
          <w:tcPr>
            <w:tcW w:w="1276" w:type="dxa"/>
            <w:tcBorders>
              <w:top w:val="none" w:sz="0" w:space="0" w:color="auto"/>
              <w:bottom w:val="none" w:sz="0" w:space="0" w:color="auto"/>
            </w:tcBorders>
            <w:noWrap/>
            <w:vAlign w:val="center"/>
          </w:tcPr>
          <w:p w14:paraId="27C9459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4.02</w:t>
            </w:r>
          </w:p>
        </w:tc>
        <w:tc>
          <w:tcPr>
            <w:tcW w:w="1276" w:type="dxa"/>
            <w:tcBorders>
              <w:top w:val="none" w:sz="0" w:space="0" w:color="auto"/>
              <w:bottom w:val="none" w:sz="0" w:space="0" w:color="auto"/>
            </w:tcBorders>
            <w:noWrap/>
            <w:vAlign w:val="center"/>
          </w:tcPr>
          <w:p w14:paraId="6F80703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.79</w:t>
            </w:r>
          </w:p>
        </w:tc>
        <w:tc>
          <w:tcPr>
            <w:tcW w:w="1276" w:type="dxa"/>
            <w:tcBorders>
              <w:top w:val="none" w:sz="0" w:space="0" w:color="auto"/>
              <w:bottom w:val="none" w:sz="0" w:space="0" w:color="auto"/>
            </w:tcBorders>
            <w:noWrap/>
            <w:vAlign w:val="center"/>
          </w:tcPr>
          <w:p w14:paraId="2D5E32E5"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3.68</w:t>
            </w:r>
          </w:p>
        </w:tc>
        <w:tc>
          <w:tcPr>
            <w:tcW w:w="1409" w:type="dxa"/>
            <w:tcBorders>
              <w:top w:val="none" w:sz="0" w:space="0" w:color="auto"/>
              <w:bottom w:val="none" w:sz="0" w:space="0" w:color="auto"/>
            </w:tcBorders>
            <w:noWrap/>
            <w:vAlign w:val="center"/>
          </w:tcPr>
          <w:p w14:paraId="11D33C2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.80</w:t>
            </w:r>
          </w:p>
        </w:tc>
      </w:tr>
      <w:tr w:rsidR="000E13E2" w:rsidRPr="00EC2BCC" w14:paraId="7362F997" w14:textId="77777777" w:rsidTr="004E7C9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hideMark/>
          </w:tcPr>
          <w:p w14:paraId="702FE474" w14:textId="77777777" w:rsidR="000E13E2" w:rsidRPr="00EC2BCC" w:rsidRDefault="000E13E2" w:rsidP="004E7C99">
            <w:pPr>
              <w:pStyle w:val="ListeParagraf"/>
              <w:spacing w:line="360" w:lineRule="auto"/>
              <w:ind w:left="0"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Acceptance of information</w:t>
            </w:r>
          </w:p>
        </w:tc>
        <w:tc>
          <w:tcPr>
            <w:tcW w:w="1276" w:type="dxa"/>
            <w:noWrap/>
            <w:vAlign w:val="center"/>
          </w:tcPr>
          <w:p w14:paraId="785C2182"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3.88</w:t>
            </w:r>
          </w:p>
        </w:tc>
        <w:tc>
          <w:tcPr>
            <w:tcW w:w="1276" w:type="dxa"/>
            <w:noWrap/>
            <w:vAlign w:val="center"/>
          </w:tcPr>
          <w:p w14:paraId="017E83AC"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.72</w:t>
            </w:r>
          </w:p>
        </w:tc>
        <w:tc>
          <w:tcPr>
            <w:tcW w:w="1276" w:type="dxa"/>
            <w:noWrap/>
            <w:vAlign w:val="center"/>
          </w:tcPr>
          <w:p w14:paraId="6D8E124E"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3.68</w:t>
            </w:r>
          </w:p>
        </w:tc>
        <w:tc>
          <w:tcPr>
            <w:tcW w:w="1409" w:type="dxa"/>
            <w:noWrap/>
            <w:vAlign w:val="center"/>
          </w:tcPr>
          <w:p w14:paraId="7E613CB5"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.62</w:t>
            </w:r>
          </w:p>
        </w:tc>
      </w:tr>
      <w:tr w:rsidR="000E13E2" w:rsidRPr="00EC2BCC" w14:paraId="7243D98E" w14:textId="77777777" w:rsidTr="004E7C9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370E1037" w14:textId="77777777" w:rsidR="000E13E2" w:rsidRPr="00EC2BCC" w:rsidRDefault="000E13E2" w:rsidP="004E7C99">
            <w:pPr>
              <w:pStyle w:val="ListeParagraf"/>
              <w:spacing w:line="360" w:lineRule="auto"/>
              <w:ind w:left="0"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Use of information</w:t>
            </w:r>
          </w:p>
        </w:tc>
        <w:tc>
          <w:tcPr>
            <w:tcW w:w="1276" w:type="dxa"/>
            <w:tcBorders>
              <w:top w:val="none" w:sz="0" w:space="0" w:color="auto"/>
              <w:bottom w:val="none" w:sz="0" w:space="0" w:color="auto"/>
            </w:tcBorders>
            <w:noWrap/>
            <w:vAlign w:val="center"/>
          </w:tcPr>
          <w:p w14:paraId="3190D94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4.33</w:t>
            </w:r>
          </w:p>
        </w:tc>
        <w:tc>
          <w:tcPr>
            <w:tcW w:w="1276" w:type="dxa"/>
            <w:tcBorders>
              <w:top w:val="none" w:sz="0" w:space="0" w:color="auto"/>
              <w:bottom w:val="none" w:sz="0" w:space="0" w:color="auto"/>
            </w:tcBorders>
            <w:noWrap/>
            <w:vAlign w:val="center"/>
          </w:tcPr>
          <w:p w14:paraId="1CEC8E0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.61</w:t>
            </w:r>
          </w:p>
        </w:tc>
        <w:tc>
          <w:tcPr>
            <w:tcW w:w="1276" w:type="dxa"/>
            <w:tcBorders>
              <w:top w:val="none" w:sz="0" w:space="0" w:color="auto"/>
              <w:bottom w:val="none" w:sz="0" w:space="0" w:color="auto"/>
            </w:tcBorders>
            <w:noWrap/>
            <w:vAlign w:val="center"/>
          </w:tcPr>
          <w:p w14:paraId="3A125BF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4.16</w:t>
            </w:r>
          </w:p>
        </w:tc>
        <w:tc>
          <w:tcPr>
            <w:tcW w:w="1409" w:type="dxa"/>
            <w:tcBorders>
              <w:top w:val="none" w:sz="0" w:space="0" w:color="auto"/>
              <w:bottom w:val="none" w:sz="0" w:space="0" w:color="auto"/>
            </w:tcBorders>
            <w:noWrap/>
            <w:vAlign w:val="center"/>
          </w:tcPr>
          <w:p w14:paraId="6D5F0B5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.64</w:t>
            </w:r>
          </w:p>
        </w:tc>
      </w:tr>
      <w:tr w:rsidR="000E13E2" w:rsidRPr="00EC2BCC" w14:paraId="19EC5D0E" w14:textId="77777777" w:rsidTr="004E7C9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hideMark/>
          </w:tcPr>
          <w:p w14:paraId="2FFE16A5" w14:textId="77777777" w:rsidR="000E13E2" w:rsidRPr="00EC2BCC" w:rsidRDefault="000E13E2" w:rsidP="004E7C99">
            <w:pPr>
              <w:pStyle w:val="ListeParagraf"/>
              <w:spacing w:line="360" w:lineRule="auto"/>
              <w:ind w:left="0"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Stimulating training</w:t>
            </w:r>
          </w:p>
        </w:tc>
        <w:tc>
          <w:tcPr>
            <w:tcW w:w="1276" w:type="dxa"/>
            <w:noWrap/>
            <w:vAlign w:val="center"/>
          </w:tcPr>
          <w:p w14:paraId="41B78DBC"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3.67</w:t>
            </w:r>
          </w:p>
        </w:tc>
        <w:tc>
          <w:tcPr>
            <w:tcW w:w="1276" w:type="dxa"/>
            <w:noWrap/>
            <w:vAlign w:val="center"/>
          </w:tcPr>
          <w:p w14:paraId="39C53E50"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.89</w:t>
            </w:r>
          </w:p>
        </w:tc>
        <w:tc>
          <w:tcPr>
            <w:tcW w:w="1276" w:type="dxa"/>
            <w:noWrap/>
            <w:vAlign w:val="center"/>
          </w:tcPr>
          <w:p w14:paraId="5EF454CF"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4.01</w:t>
            </w:r>
          </w:p>
        </w:tc>
        <w:tc>
          <w:tcPr>
            <w:tcW w:w="1409" w:type="dxa"/>
            <w:noWrap/>
            <w:vAlign w:val="center"/>
          </w:tcPr>
          <w:p w14:paraId="5E66698E"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.91</w:t>
            </w:r>
          </w:p>
        </w:tc>
      </w:tr>
      <w:tr w:rsidR="000E13E2" w:rsidRPr="00EC2BCC" w14:paraId="523D0768" w14:textId="77777777" w:rsidTr="004E7C9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1BBAAE37" w14:textId="77777777" w:rsidR="000E13E2" w:rsidRPr="00EC2BCC" w:rsidRDefault="000E13E2" w:rsidP="004E7C99">
            <w:pPr>
              <w:pStyle w:val="ListeParagraf"/>
              <w:spacing w:line="360" w:lineRule="auto"/>
              <w:ind w:left="0"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Collaboration</w:t>
            </w:r>
          </w:p>
        </w:tc>
        <w:tc>
          <w:tcPr>
            <w:tcW w:w="1276" w:type="dxa"/>
            <w:tcBorders>
              <w:top w:val="none" w:sz="0" w:space="0" w:color="auto"/>
              <w:bottom w:val="none" w:sz="0" w:space="0" w:color="auto"/>
            </w:tcBorders>
            <w:noWrap/>
            <w:vAlign w:val="center"/>
          </w:tcPr>
          <w:p w14:paraId="63BA3C6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2.56</w:t>
            </w:r>
          </w:p>
        </w:tc>
        <w:tc>
          <w:tcPr>
            <w:tcW w:w="1276" w:type="dxa"/>
            <w:tcBorders>
              <w:top w:val="none" w:sz="0" w:space="0" w:color="auto"/>
              <w:bottom w:val="none" w:sz="0" w:space="0" w:color="auto"/>
            </w:tcBorders>
            <w:noWrap/>
            <w:vAlign w:val="center"/>
          </w:tcPr>
          <w:p w14:paraId="7AAD60F6"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1.00</w:t>
            </w:r>
          </w:p>
        </w:tc>
        <w:tc>
          <w:tcPr>
            <w:tcW w:w="1276" w:type="dxa"/>
            <w:tcBorders>
              <w:top w:val="none" w:sz="0" w:space="0" w:color="auto"/>
              <w:bottom w:val="none" w:sz="0" w:space="0" w:color="auto"/>
            </w:tcBorders>
            <w:noWrap/>
            <w:vAlign w:val="center"/>
          </w:tcPr>
          <w:p w14:paraId="686DBA1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3.30</w:t>
            </w:r>
          </w:p>
        </w:tc>
        <w:tc>
          <w:tcPr>
            <w:tcW w:w="1409" w:type="dxa"/>
            <w:tcBorders>
              <w:top w:val="none" w:sz="0" w:space="0" w:color="auto"/>
              <w:bottom w:val="none" w:sz="0" w:space="0" w:color="auto"/>
            </w:tcBorders>
            <w:noWrap/>
            <w:vAlign w:val="center"/>
          </w:tcPr>
          <w:p w14:paraId="548A21BC"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.80</w:t>
            </w:r>
          </w:p>
        </w:tc>
      </w:tr>
    </w:tbl>
    <w:p w14:paraId="53772BDD" w14:textId="77777777" w:rsidR="000E13E2" w:rsidRPr="00EC2BCC" w:rsidRDefault="000E13E2" w:rsidP="000E13E2">
      <w:pPr>
        <w:pStyle w:val="NormalWeb"/>
        <w:spacing w:line="360" w:lineRule="auto"/>
        <w:jc w:val="both"/>
        <w:rPr>
          <w:sz w:val="20"/>
          <w:szCs w:val="20"/>
        </w:rPr>
      </w:pPr>
      <w:r w:rsidRPr="00EC2BCC">
        <w:rPr>
          <w:sz w:val="20"/>
          <w:szCs w:val="20"/>
          <w:lang w:val="en"/>
        </w:rPr>
        <w:lastRenderedPageBreak/>
        <w:t>According to Table 6, mental models in learning averaged higher information structuring, acceptance and use for non-</w:t>
      </w:r>
      <w:proofErr w:type="spellStart"/>
      <w:r w:rsidRPr="00EC2BCC">
        <w:rPr>
          <w:sz w:val="20"/>
          <w:szCs w:val="20"/>
          <w:lang w:val="en"/>
        </w:rPr>
        <w:t>aphanatic</w:t>
      </w:r>
      <w:proofErr w:type="spellEnd"/>
      <w:r w:rsidRPr="00EC2BCC">
        <w:rPr>
          <w:sz w:val="20"/>
          <w:szCs w:val="20"/>
          <w:lang w:val="en"/>
        </w:rPr>
        <w:t xml:space="preserve"> people, while non-apathetic people had higher stimulus training and cooperation.  </w:t>
      </w:r>
    </w:p>
    <w:p w14:paraId="1DDA9E8B" w14:textId="77777777" w:rsidR="000E13E2" w:rsidRPr="00EC2BCC" w:rsidRDefault="000E13E2" w:rsidP="000E13E2">
      <w:pPr>
        <w:spacing w:before="100" w:beforeAutospacing="1" w:after="100" w:afterAutospacing="1" w:line="360" w:lineRule="auto"/>
        <w:rPr>
          <w:rFonts w:eastAsia="Times New Roman" w:cs="Times New Roman"/>
          <w:szCs w:val="20"/>
          <w:lang w:eastAsia="tr-TR"/>
        </w:rPr>
      </w:pPr>
      <w:r w:rsidRPr="000E13E2">
        <w:rPr>
          <w:rFonts w:cs="Times New Roman"/>
          <w:bCs/>
          <w:szCs w:val="20"/>
          <w:lang w:val="en" w:eastAsia="tr-TR"/>
        </w:rPr>
        <w:t>Table 7.</w:t>
      </w:r>
      <w:r w:rsidRPr="00EC2BCC">
        <w:rPr>
          <w:rFonts w:cs="Times New Roman"/>
          <w:szCs w:val="20"/>
          <w:lang w:val="en" w:eastAsia="tr-TR"/>
        </w:rPr>
        <w:t xml:space="preserve"> Average and standard deviation rates of responses of individuals with and without apathetic to subcategory of learning orientations of their LSs. </w:t>
      </w:r>
    </w:p>
    <w:tbl>
      <w:tblPr>
        <w:tblStyle w:val="DzTablo2"/>
        <w:tblW w:w="8156" w:type="dxa"/>
        <w:tblLook w:val="04A0" w:firstRow="1" w:lastRow="0" w:firstColumn="1" w:lastColumn="0" w:noHBand="0" w:noVBand="1"/>
      </w:tblPr>
      <w:tblGrid>
        <w:gridCol w:w="3474"/>
        <w:gridCol w:w="1166"/>
        <w:gridCol w:w="1174"/>
        <w:gridCol w:w="1166"/>
        <w:gridCol w:w="1176"/>
      </w:tblGrid>
      <w:tr w:rsidR="000E13E2" w:rsidRPr="00EC2BCC" w14:paraId="309CAB8D" w14:textId="77777777" w:rsidTr="004E7C9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474" w:type="dxa"/>
            <w:tcBorders>
              <w:top w:val="single" w:sz="4" w:space="0" w:color="7F7F7F" w:themeColor="text1" w:themeTint="80"/>
              <w:bottom w:val="nil"/>
            </w:tcBorders>
            <w:noWrap/>
            <w:hideMark/>
          </w:tcPr>
          <w:p w14:paraId="0C22CB67" w14:textId="77777777" w:rsidR="000E13E2" w:rsidRPr="00EC2BCC" w:rsidRDefault="000E13E2" w:rsidP="004E7C99">
            <w:pPr>
              <w:spacing w:line="360" w:lineRule="auto"/>
              <w:jc w:val="center"/>
              <w:rPr>
                <w:rFonts w:cs="Times New Roman"/>
                <w:color w:val="000000"/>
                <w:szCs w:val="20"/>
                <w:lang w:val="tr-TR" w:eastAsia="en-GB"/>
              </w:rPr>
            </w:pPr>
          </w:p>
        </w:tc>
        <w:tc>
          <w:tcPr>
            <w:tcW w:w="2340" w:type="dxa"/>
            <w:gridSpan w:val="2"/>
            <w:tcBorders>
              <w:top w:val="single" w:sz="4" w:space="0" w:color="7F7F7F" w:themeColor="text1" w:themeTint="80"/>
              <w:bottom w:val="single" w:sz="4" w:space="0" w:color="auto"/>
            </w:tcBorders>
            <w:hideMark/>
          </w:tcPr>
          <w:p w14:paraId="2DE1E14C"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proofErr w:type="spellStart"/>
            <w:r w:rsidRPr="00EC2BCC">
              <w:rPr>
                <w:rFonts w:cs="Times New Roman"/>
                <w:bCs w:val="0"/>
                <w:color w:val="000000"/>
                <w:szCs w:val="20"/>
                <w:lang w:val="tr-TR" w:eastAsia="en-GB"/>
              </w:rPr>
              <w:t>Aphantasic</w:t>
            </w:r>
            <w:proofErr w:type="spellEnd"/>
          </w:p>
        </w:tc>
        <w:tc>
          <w:tcPr>
            <w:tcW w:w="2342" w:type="dxa"/>
            <w:gridSpan w:val="2"/>
            <w:tcBorders>
              <w:top w:val="single" w:sz="4" w:space="0" w:color="7F7F7F" w:themeColor="text1" w:themeTint="80"/>
              <w:bottom w:val="single" w:sz="4" w:space="0" w:color="auto"/>
            </w:tcBorders>
            <w:hideMark/>
          </w:tcPr>
          <w:p w14:paraId="4D8CE0E6"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r w:rsidRPr="00EC2BCC">
              <w:rPr>
                <w:rFonts w:cs="Times New Roman"/>
                <w:bCs w:val="0"/>
                <w:color w:val="000000"/>
                <w:szCs w:val="20"/>
                <w:lang w:val="en" w:eastAsia="en-GB"/>
              </w:rPr>
              <w:t xml:space="preserve">Not </w:t>
            </w:r>
            <w:proofErr w:type="spellStart"/>
            <w:r w:rsidRPr="00EC2BCC">
              <w:rPr>
                <w:rFonts w:cs="Times New Roman"/>
                <w:bCs w:val="0"/>
                <w:color w:val="000000"/>
                <w:szCs w:val="20"/>
                <w:lang w:val="tr-TR" w:eastAsia="en-GB"/>
              </w:rPr>
              <w:t>aphantasic</w:t>
            </w:r>
            <w:proofErr w:type="spellEnd"/>
          </w:p>
        </w:tc>
      </w:tr>
      <w:tr w:rsidR="000E13E2" w:rsidRPr="00EC2BCC" w14:paraId="6068DF0F" w14:textId="77777777" w:rsidTr="004E7C99">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3474" w:type="dxa"/>
            <w:tcBorders>
              <w:top w:val="nil"/>
            </w:tcBorders>
            <w:noWrap/>
            <w:hideMark/>
          </w:tcPr>
          <w:p w14:paraId="056E0B74" w14:textId="77777777" w:rsidR="000E13E2" w:rsidRPr="00EC2BCC" w:rsidRDefault="000E13E2" w:rsidP="004E7C99">
            <w:pPr>
              <w:spacing w:line="360" w:lineRule="auto"/>
              <w:jc w:val="center"/>
              <w:rPr>
                <w:rFonts w:cs="Times New Roman"/>
                <w:color w:val="000000"/>
                <w:szCs w:val="20"/>
                <w:lang w:val="tr-TR" w:eastAsia="en-GB"/>
              </w:rPr>
            </w:pPr>
          </w:p>
        </w:tc>
        <w:tc>
          <w:tcPr>
            <w:tcW w:w="1166" w:type="dxa"/>
            <w:tcBorders>
              <w:top w:val="single" w:sz="4" w:space="0" w:color="auto"/>
            </w:tcBorders>
            <w:vAlign w:val="center"/>
            <w:hideMark/>
          </w:tcPr>
          <w:p w14:paraId="69BA22B3"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174" w:type="dxa"/>
            <w:tcBorders>
              <w:top w:val="single" w:sz="4" w:space="0" w:color="auto"/>
            </w:tcBorders>
            <w:vAlign w:val="center"/>
            <w:hideMark/>
          </w:tcPr>
          <w:p w14:paraId="24D22AC2" w14:textId="77777777" w:rsidR="000E13E2" w:rsidRPr="00EC2BCC" w:rsidRDefault="000E13E2" w:rsidP="004E7C99">
            <w:pPr>
              <w:spacing w:line="36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w:t>
            </w:r>
          </w:p>
        </w:tc>
        <w:tc>
          <w:tcPr>
            <w:tcW w:w="1166" w:type="dxa"/>
            <w:tcBorders>
              <w:top w:val="single" w:sz="4" w:space="0" w:color="auto"/>
            </w:tcBorders>
            <w:vAlign w:val="center"/>
            <w:hideMark/>
          </w:tcPr>
          <w:p w14:paraId="2DBF266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Avg.</w:t>
            </w:r>
          </w:p>
        </w:tc>
        <w:tc>
          <w:tcPr>
            <w:tcW w:w="1176" w:type="dxa"/>
            <w:tcBorders>
              <w:top w:val="single" w:sz="4" w:space="0" w:color="auto"/>
            </w:tcBorders>
            <w:vAlign w:val="center"/>
            <w:hideMark/>
          </w:tcPr>
          <w:p w14:paraId="192FF8CF" w14:textId="77777777" w:rsidR="000E13E2" w:rsidRPr="00EC2BCC" w:rsidRDefault="000E13E2" w:rsidP="004E7C99">
            <w:pPr>
              <w:spacing w:line="360" w:lineRule="auto"/>
              <w:ind w:firstLine="0"/>
              <w:jc w:val="left"/>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 xml:space="preserve">            Std.</w:t>
            </w:r>
          </w:p>
        </w:tc>
      </w:tr>
      <w:tr w:rsidR="000E13E2" w:rsidRPr="00EC2BCC" w14:paraId="550D16CB" w14:textId="77777777" w:rsidTr="004E7C99">
        <w:trPr>
          <w:trHeight w:hRule="exact" w:val="284"/>
        </w:trPr>
        <w:tc>
          <w:tcPr>
            <w:cnfStyle w:val="001000000000" w:firstRow="0" w:lastRow="0" w:firstColumn="1" w:lastColumn="0" w:oddVBand="0" w:evenVBand="0" w:oddHBand="0" w:evenHBand="0" w:firstRowFirstColumn="0" w:firstRowLastColumn="0" w:lastRowFirstColumn="0" w:lastRowLastColumn="0"/>
            <w:tcW w:w="3474" w:type="dxa"/>
            <w:tcBorders>
              <w:top w:val="single" w:sz="4" w:space="0" w:color="7F7F7F" w:themeColor="text1" w:themeTint="80"/>
            </w:tcBorders>
          </w:tcPr>
          <w:p w14:paraId="324235B1" w14:textId="77777777" w:rsidR="000E13E2" w:rsidRPr="00EC2BCC" w:rsidRDefault="000E13E2" w:rsidP="004E7C99">
            <w:pPr>
              <w:spacing w:line="360" w:lineRule="auto"/>
              <w:ind w:firstLine="0"/>
              <w:rPr>
                <w:rFonts w:cs="Times New Roman"/>
                <w:b w:val="0"/>
                <w:bCs w:val="0"/>
                <w:color w:val="000000"/>
                <w:szCs w:val="20"/>
                <w:lang w:val="tr-TR" w:eastAsia="en-GB"/>
              </w:rPr>
            </w:pPr>
            <w:r w:rsidRPr="00EC2BCC">
              <w:rPr>
                <w:rFonts w:cs="Times New Roman"/>
                <w:color w:val="000000"/>
                <w:szCs w:val="20"/>
                <w:lang w:val="en" w:eastAsia="en-GB"/>
              </w:rPr>
              <w:t>Learning orientations</w:t>
            </w:r>
          </w:p>
        </w:tc>
        <w:tc>
          <w:tcPr>
            <w:tcW w:w="1166" w:type="dxa"/>
            <w:tcBorders>
              <w:top w:val="single" w:sz="4" w:space="0" w:color="7F7F7F" w:themeColor="text1" w:themeTint="80"/>
            </w:tcBorders>
            <w:noWrap/>
            <w:vAlign w:val="center"/>
          </w:tcPr>
          <w:p w14:paraId="311288B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3.74</w:t>
            </w:r>
          </w:p>
        </w:tc>
        <w:tc>
          <w:tcPr>
            <w:tcW w:w="1174" w:type="dxa"/>
            <w:tcBorders>
              <w:top w:val="single" w:sz="4" w:space="0" w:color="7F7F7F" w:themeColor="text1" w:themeTint="80"/>
            </w:tcBorders>
            <w:noWrap/>
            <w:vAlign w:val="center"/>
          </w:tcPr>
          <w:p w14:paraId="2F139DE9"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w:t>
            </w:r>
          </w:p>
        </w:tc>
        <w:tc>
          <w:tcPr>
            <w:tcW w:w="1166" w:type="dxa"/>
            <w:tcBorders>
              <w:top w:val="single" w:sz="4" w:space="0" w:color="7F7F7F" w:themeColor="text1" w:themeTint="80"/>
            </w:tcBorders>
            <w:noWrap/>
            <w:vAlign w:val="center"/>
          </w:tcPr>
          <w:p w14:paraId="1E9DCDC9"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3.58</w:t>
            </w:r>
          </w:p>
        </w:tc>
        <w:tc>
          <w:tcPr>
            <w:tcW w:w="1176" w:type="dxa"/>
            <w:tcBorders>
              <w:top w:val="single" w:sz="4" w:space="0" w:color="7F7F7F" w:themeColor="text1" w:themeTint="80"/>
            </w:tcBorders>
            <w:noWrap/>
            <w:vAlign w:val="center"/>
          </w:tcPr>
          <w:p w14:paraId="26EC5F34"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.63</w:t>
            </w:r>
          </w:p>
        </w:tc>
      </w:tr>
      <w:tr w:rsidR="000E13E2" w:rsidRPr="00EC2BCC" w14:paraId="2D8586CE" w14:textId="77777777" w:rsidTr="004E7C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474" w:type="dxa"/>
            <w:tcBorders>
              <w:top w:val="none" w:sz="0" w:space="0" w:color="auto"/>
              <w:bottom w:val="none" w:sz="0" w:space="0" w:color="auto"/>
            </w:tcBorders>
            <w:hideMark/>
          </w:tcPr>
          <w:p w14:paraId="72305FD5"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Individual attention</w:t>
            </w:r>
          </w:p>
        </w:tc>
        <w:tc>
          <w:tcPr>
            <w:tcW w:w="1166" w:type="dxa"/>
            <w:tcBorders>
              <w:top w:val="none" w:sz="0" w:space="0" w:color="auto"/>
              <w:bottom w:val="none" w:sz="0" w:space="0" w:color="auto"/>
            </w:tcBorders>
            <w:noWrap/>
            <w:vAlign w:val="center"/>
          </w:tcPr>
          <w:p w14:paraId="44D9526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4.43</w:t>
            </w:r>
          </w:p>
        </w:tc>
        <w:tc>
          <w:tcPr>
            <w:tcW w:w="1174" w:type="dxa"/>
            <w:tcBorders>
              <w:top w:val="none" w:sz="0" w:space="0" w:color="auto"/>
              <w:bottom w:val="none" w:sz="0" w:space="0" w:color="auto"/>
            </w:tcBorders>
            <w:noWrap/>
            <w:vAlign w:val="center"/>
          </w:tcPr>
          <w:p w14:paraId="603B4C8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.48</w:t>
            </w:r>
          </w:p>
        </w:tc>
        <w:tc>
          <w:tcPr>
            <w:tcW w:w="1166" w:type="dxa"/>
            <w:tcBorders>
              <w:top w:val="none" w:sz="0" w:space="0" w:color="auto"/>
              <w:bottom w:val="none" w:sz="0" w:space="0" w:color="auto"/>
            </w:tcBorders>
            <w:noWrap/>
            <w:vAlign w:val="center"/>
          </w:tcPr>
          <w:p w14:paraId="5DF2B9D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4.39</w:t>
            </w:r>
          </w:p>
        </w:tc>
        <w:tc>
          <w:tcPr>
            <w:tcW w:w="1176" w:type="dxa"/>
            <w:tcBorders>
              <w:top w:val="none" w:sz="0" w:space="0" w:color="auto"/>
              <w:bottom w:val="none" w:sz="0" w:space="0" w:color="auto"/>
            </w:tcBorders>
            <w:noWrap/>
            <w:vAlign w:val="center"/>
          </w:tcPr>
          <w:p w14:paraId="43D06A2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.61</w:t>
            </w:r>
          </w:p>
        </w:tc>
      </w:tr>
      <w:tr w:rsidR="000E13E2" w:rsidRPr="00EC2BCC" w14:paraId="39B2271E" w14:textId="77777777" w:rsidTr="004E7C99">
        <w:trPr>
          <w:trHeight w:hRule="exact" w:val="284"/>
        </w:trPr>
        <w:tc>
          <w:tcPr>
            <w:cnfStyle w:val="001000000000" w:firstRow="0" w:lastRow="0" w:firstColumn="1" w:lastColumn="0" w:oddVBand="0" w:evenVBand="0" w:oddHBand="0" w:evenHBand="0" w:firstRowFirstColumn="0" w:firstRowLastColumn="0" w:lastRowFirstColumn="0" w:lastRowLastColumn="0"/>
            <w:tcW w:w="3474" w:type="dxa"/>
            <w:hideMark/>
          </w:tcPr>
          <w:p w14:paraId="7691537E"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Approved purpose</w:t>
            </w:r>
          </w:p>
        </w:tc>
        <w:tc>
          <w:tcPr>
            <w:tcW w:w="1166" w:type="dxa"/>
            <w:noWrap/>
            <w:vAlign w:val="center"/>
          </w:tcPr>
          <w:p w14:paraId="403CEDA1"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3.46</w:t>
            </w:r>
          </w:p>
        </w:tc>
        <w:tc>
          <w:tcPr>
            <w:tcW w:w="1174" w:type="dxa"/>
            <w:noWrap/>
            <w:vAlign w:val="center"/>
          </w:tcPr>
          <w:p w14:paraId="7C74FFB1"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1.01</w:t>
            </w:r>
          </w:p>
        </w:tc>
        <w:tc>
          <w:tcPr>
            <w:tcW w:w="1166" w:type="dxa"/>
            <w:noWrap/>
            <w:vAlign w:val="center"/>
          </w:tcPr>
          <w:p w14:paraId="2F823112"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2.89</w:t>
            </w:r>
          </w:p>
        </w:tc>
        <w:tc>
          <w:tcPr>
            <w:tcW w:w="1176" w:type="dxa"/>
            <w:noWrap/>
            <w:vAlign w:val="center"/>
          </w:tcPr>
          <w:p w14:paraId="30A15E79"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.90</w:t>
            </w:r>
          </w:p>
        </w:tc>
      </w:tr>
      <w:tr w:rsidR="000E13E2" w:rsidRPr="00EC2BCC" w14:paraId="09DF3C84" w14:textId="77777777" w:rsidTr="004E7C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474" w:type="dxa"/>
            <w:tcBorders>
              <w:top w:val="none" w:sz="0" w:space="0" w:color="auto"/>
              <w:bottom w:val="none" w:sz="0" w:space="0" w:color="auto"/>
            </w:tcBorders>
            <w:hideMark/>
          </w:tcPr>
          <w:p w14:paraId="0293779A"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Self-tested oriented</w:t>
            </w:r>
          </w:p>
        </w:tc>
        <w:tc>
          <w:tcPr>
            <w:tcW w:w="1166" w:type="dxa"/>
            <w:tcBorders>
              <w:top w:val="none" w:sz="0" w:space="0" w:color="auto"/>
              <w:bottom w:val="none" w:sz="0" w:space="0" w:color="auto"/>
            </w:tcBorders>
            <w:noWrap/>
            <w:vAlign w:val="center"/>
          </w:tcPr>
          <w:p w14:paraId="6E60104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3.75</w:t>
            </w:r>
          </w:p>
        </w:tc>
        <w:tc>
          <w:tcPr>
            <w:tcW w:w="1174" w:type="dxa"/>
            <w:tcBorders>
              <w:top w:val="none" w:sz="0" w:space="0" w:color="auto"/>
              <w:bottom w:val="none" w:sz="0" w:space="0" w:color="auto"/>
            </w:tcBorders>
            <w:noWrap/>
            <w:vAlign w:val="center"/>
          </w:tcPr>
          <w:p w14:paraId="765D82FB"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.83</w:t>
            </w:r>
          </w:p>
        </w:tc>
        <w:tc>
          <w:tcPr>
            <w:tcW w:w="1166" w:type="dxa"/>
            <w:tcBorders>
              <w:top w:val="none" w:sz="0" w:space="0" w:color="auto"/>
              <w:bottom w:val="none" w:sz="0" w:space="0" w:color="auto"/>
            </w:tcBorders>
            <w:noWrap/>
            <w:vAlign w:val="center"/>
          </w:tcPr>
          <w:p w14:paraId="7C76CC71"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3.62</w:t>
            </w:r>
          </w:p>
        </w:tc>
        <w:tc>
          <w:tcPr>
            <w:tcW w:w="1176" w:type="dxa"/>
            <w:tcBorders>
              <w:top w:val="none" w:sz="0" w:space="0" w:color="auto"/>
              <w:bottom w:val="none" w:sz="0" w:space="0" w:color="auto"/>
            </w:tcBorders>
            <w:noWrap/>
            <w:vAlign w:val="center"/>
          </w:tcPr>
          <w:p w14:paraId="748E159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.95</w:t>
            </w:r>
          </w:p>
        </w:tc>
      </w:tr>
      <w:tr w:rsidR="000E13E2" w:rsidRPr="00EC2BCC" w14:paraId="027E6331" w14:textId="77777777" w:rsidTr="004E7C99">
        <w:trPr>
          <w:trHeight w:hRule="exact" w:val="284"/>
        </w:trPr>
        <w:tc>
          <w:tcPr>
            <w:cnfStyle w:val="001000000000" w:firstRow="0" w:lastRow="0" w:firstColumn="1" w:lastColumn="0" w:oddVBand="0" w:evenVBand="0" w:oddHBand="0" w:evenHBand="0" w:firstRowFirstColumn="0" w:firstRowLastColumn="0" w:lastRowFirstColumn="0" w:lastRowLastColumn="0"/>
            <w:tcW w:w="3474" w:type="dxa"/>
            <w:hideMark/>
          </w:tcPr>
          <w:p w14:paraId="542154C4"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Profession-oriented</w:t>
            </w:r>
          </w:p>
        </w:tc>
        <w:tc>
          <w:tcPr>
            <w:tcW w:w="1166" w:type="dxa"/>
            <w:noWrap/>
            <w:vAlign w:val="center"/>
          </w:tcPr>
          <w:p w14:paraId="1DBDC19D"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4.12</w:t>
            </w:r>
          </w:p>
        </w:tc>
        <w:tc>
          <w:tcPr>
            <w:tcW w:w="1174" w:type="dxa"/>
            <w:noWrap/>
            <w:vAlign w:val="center"/>
          </w:tcPr>
          <w:p w14:paraId="13B978C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.60</w:t>
            </w:r>
          </w:p>
        </w:tc>
        <w:tc>
          <w:tcPr>
            <w:tcW w:w="1166" w:type="dxa"/>
            <w:noWrap/>
            <w:vAlign w:val="center"/>
          </w:tcPr>
          <w:p w14:paraId="4D5B54D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3.85</w:t>
            </w:r>
          </w:p>
        </w:tc>
        <w:tc>
          <w:tcPr>
            <w:tcW w:w="1176" w:type="dxa"/>
            <w:noWrap/>
            <w:vAlign w:val="center"/>
          </w:tcPr>
          <w:p w14:paraId="43D2A12F"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.88</w:t>
            </w:r>
          </w:p>
        </w:tc>
      </w:tr>
      <w:tr w:rsidR="000E13E2" w:rsidRPr="00EC2BCC" w14:paraId="112FBFFA" w14:textId="77777777" w:rsidTr="004E7C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474" w:type="dxa"/>
            <w:tcBorders>
              <w:top w:val="none" w:sz="0" w:space="0" w:color="auto"/>
              <w:bottom w:val="none" w:sz="0" w:space="0" w:color="auto"/>
            </w:tcBorders>
            <w:hideMark/>
          </w:tcPr>
          <w:p w14:paraId="45AFFD7B" w14:textId="77777777" w:rsidR="000E13E2" w:rsidRPr="00EC2BCC" w:rsidRDefault="000E13E2" w:rsidP="004E7C99">
            <w:pPr>
              <w:pStyle w:val="ListeParagraf"/>
              <w:spacing w:line="360" w:lineRule="auto"/>
              <w:ind w:left="35" w:firstLine="0"/>
              <w:rPr>
                <w:rFonts w:ascii="Times New Roman" w:hAnsi="Times New Roman" w:cs="Times New Roman"/>
                <w:b w:val="0"/>
                <w:bCs w:val="0"/>
                <w:color w:val="000000"/>
                <w:sz w:val="20"/>
                <w:szCs w:val="20"/>
                <w:lang w:eastAsia="en-GB"/>
              </w:rPr>
            </w:pPr>
            <w:r w:rsidRPr="00EC2BCC">
              <w:rPr>
                <w:rFonts w:ascii="Times New Roman" w:hAnsi="Times New Roman" w:cs="Times New Roman"/>
                <w:b w:val="0"/>
                <w:bCs w:val="0"/>
                <w:color w:val="000000"/>
                <w:sz w:val="20"/>
                <w:szCs w:val="20"/>
                <w:lang w:val="en" w:eastAsia="en-GB"/>
              </w:rPr>
              <w:t>Undecided</w:t>
            </w:r>
          </w:p>
        </w:tc>
        <w:tc>
          <w:tcPr>
            <w:tcW w:w="1166" w:type="dxa"/>
            <w:tcBorders>
              <w:top w:val="none" w:sz="0" w:space="0" w:color="auto"/>
              <w:bottom w:val="none" w:sz="0" w:space="0" w:color="auto"/>
            </w:tcBorders>
            <w:noWrap/>
            <w:vAlign w:val="center"/>
          </w:tcPr>
          <w:p w14:paraId="0B9C37B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2.89</w:t>
            </w:r>
          </w:p>
        </w:tc>
        <w:tc>
          <w:tcPr>
            <w:tcW w:w="1174" w:type="dxa"/>
            <w:tcBorders>
              <w:top w:val="none" w:sz="0" w:space="0" w:color="auto"/>
              <w:bottom w:val="none" w:sz="0" w:space="0" w:color="auto"/>
            </w:tcBorders>
            <w:noWrap/>
            <w:vAlign w:val="center"/>
          </w:tcPr>
          <w:p w14:paraId="03135FA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.85</w:t>
            </w:r>
          </w:p>
        </w:tc>
        <w:tc>
          <w:tcPr>
            <w:tcW w:w="1166" w:type="dxa"/>
            <w:tcBorders>
              <w:top w:val="none" w:sz="0" w:space="0" w:color="auto"/>
              <w:bottom w:val="none" w:sz="0" w:space="0" w:color="auto"/>
            </w:tcBorders>
            <w:noWrap/>
            <w:vAlign w:val="center"/>
          </w:tcPr>
          <w:p w14:paraId="19482A4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3.39</w:t>
            </w:r>
          </w:p>
        </w:tc>
        <w:tc>
          <w:tcPr>
            <w:tcW w:w="1176" w:type="dxa"/>
            <w:tcBorders>
              <w:top w:val="none" w:sz="0" w:space="0" w:color="auto"/>
              <w:bottom w:val="none" w:sz="0" w:space="0" w:color="auto"/>
            </w:tcBorders>
            <w:noWrap/>
            <w:vAlign w:val="center"/>
          </w:tcPr>
          <w:p w14:paraId="008BE07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.91</w:t>
            </w:r>
          </w:p>
        </w:tc>
      </w:tr>
    </w:tbl>
    <w:p w14:paraId="63A93105" w14:textId="77777777" w:rsidR="000E13E2" w:rsidRPr="00EC2BCC" w:rsidRDefault="000E13E2" w:rsidP="000E13E2">
      <w:pPr>
        <w:pStyle w:val="NormalWeb"/>
        <w:spacing w:line="360" w:lineRule="auto"/>
        <w:jc w:val="both"/>
        <w:rPr>
          <w:sz w:val="20"/>
          <w:szCs w:val="20"/>
        </w:rPr>
      </w:pPr>
      <w:r w:rsidRPr="00EC2BCC">
        <w:rPr>
          <w:sz w:val="20"/>
          <w:szCs w:val="20"/>
          <w:lang w:val="en"/>
        </w:rPr>
        <w:t xml:space="preserve">As it is understood from the Table 7, the learning orientation of the participants was higher than the average of those who were not </w:t>
      </w:r>
      <w:proofErr w:type="spellStart"/>
      <w:r w:rsidRPr="00EC2BCC">
        <w:rPr>
          <w:sz w:val="20"/>
          <w:szCs w:val="20"/>
        </w:rPr>
        <w:t>aphantasic</w:t>
      </w:r>
      <w:proofErr w:type="spellEnd"/>
      <w:r w:rsidRPr="00EC2BCC">
        <w:rPr>
          <w:sz w:val="20"/>
          <w:szCs w:val="20"/>
          <w:lang w:val="en"/>
        </w:rPr>
        <w:t xml:space="preserve"> in the other four sub-dimensions, except for those whose learning orientation was unstable. Those with unstable learning orientations had a higher average of non-</w:t>
      </w:r>
      <w:proofErr w:type="spellStart"/>
      <w:r w:rsidRPr="00EC2BCC">
        <w:rPr>
          <w:sz w:val="20"/>
          <w:szCs w:val="20"/>
          <w:lang w:val="en"/>
        </w:rPr>
        <w:t>aphantazic</w:t>
      </w:r>
      <w:proofErr w:type="spellEnd"/>
      <w:r w:rsidRPr="00EC2BCC">
        <w:rPr>
          <w:sz w:val="20"/>
          <w:szCs w:val="20"/>
          <w:lang w:val="en"/>
        </w:rPr>
        <w:t xml:space="preserve"> ones. </w:t>
      </w:r>
    </w:p>
    <w:p w14:paraId="6CCA8A78" w14:textId="77777777" w:rsidR="000E13E2" w:rsidRPr="00EC2BCC" w:rsidRDefault="000E13E2" w:rsidP="000E13E2">
      <w:pPr>
        <w:spacing w:after="120" w:line="360" w:lineRule="auto"/>
        <w:rPr>
          <w:rFonts w:eastAsia="Times New Roman" w:cs="Times New Roman"/>
          <w:szCs w:val="20"/>
          <w:lang w:eastAsia="tr-TR"/>
        </w:rPr>
      </w:pPr>
      <w:r w:rsidRPr="000E13E2">
        <w:rPr>
          <w:rFonts w:cs="Times New Roman"/>
          <w:bCs/>
          <w:szCs w:val="20"/>
          <w:lang w:val="en" w:eastAsia="tr-TR"/>
        </w:rPr>
        <w:t>Table 8.</w:t>
      </w:r>
      <w:r w:rsidRPr="00EC2BCC">
        <w:rPr>
          <w:rFonts w:cs="Times New Roman"/>
          <w:szCs w:val="20"/>
          <w:lang w:val="en" w:eastAsia="tr-TR"/>
        </w:rPr>
        <w:t xml:space="preserve"> T-test results for independent samples conducted to determine effect of viability variable of VI on learning styles.</w:t>
      </w:r>
    </w:p>
    <w:tbl>
      <w:tblPr>
        <w:tblStyle w:val="AkGlgeleme1"/>
        <w:tblW w:w="8222" w:type="dxa"/>
        <w:tblLayout w:type="fixed"/>
        <w:tblLook w:val="04A0" w:firstRow="1" w:lastRow="0" w:firstColumn="1" w:lastColumn="0" w:noHBand="0" w:noVBand="1"/>
      </w:tblPr>
      <w:tblGrid>
        <w:gridCol w:w="1843"/>
        <w:gridCol w:w="1559"/>
        <w:gridCol w:w="851"/>
        <w:gridCol w:w="601"/>
        <w:gridCol w:w="519"/>
        <w:gridCol w:w="577"/>
        <w:gridCol w:w="756"/>
        <w:gridCol w:w="791"/>
        <w:gridCol w:w="725"/>
      </w:tblGrid>
      <w:tr w:rsidR="000E13E2" w:rsidRPr="00EC2BCC" w14:paraId="6F208A5C" w14:textId="77777777" w:rsidTr="004E7C99">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right w:val="none" w:sz="0" w:space="0" w:color="auto"/>
            </w:tcBorders>
            <w:shd w:val="clear" w:color="auto" w:fill="auto"/>
          </w:tcPr>
          <w:p w14:paraId="460E6069" w14:textId="77777777" w:rsidR="000E13E2" w:rsidRPr="00EC2BCC" w:rsidRDefault="000E13E2" w:rsidP="004E7C99">
            <w:pPr>
              <w:spacing w:line="360" w:lineRule="auto"/>
              <w:jc w:val="center"/>
              <w:rPr>
                <w:rFonts w:cs="Times New Roman"/>
                <w:szCs w:val="20"/>
              </w:rPr>
            </w:pPr>
          </w:p>
        </w:tc>
        <w:tc>
          <w:tcPr>
            <w:tcW w:w="1559" w:type="dxa"/>
            <w:vMerge w:val="restart"/>
            <w:tcBorders>
              <w:left w:val="none" w:sz="0" w:space="0" w:color="auto"/>
              <w:bottom w:val="nil"/>
              <w:right w:val="none" w:sz="0" w:space="0" w:color="auto"/>
            </w:tcBorders>
            <w:shd w:val="clear" w:color="auto" w:fill="auto"/>
            <w:vAlign w:val="center"/>
          </w:tcPr>
          <w:p w14:paraId="30956C65"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0"/>
              </w:rPr>
            </w:pPr>
            <w:r w:rsidRPr="00EC2BCC">
              <w:rPr>
                <w:rFonts w:cs="Times New Roman"/>
                <w:szCs w:val="20"/>
                <w:lang w:val="en"/>
              </w:rPr>
              <w:t>Groups</w:t>
            </w:r>
          </w:p>
        </w:tc>
        <w:tc>
          <w:tcPr>
            <w:tcW w:w="851" w:type="dxa"/>
            <w:vMerge w:val="restart"/>
            <w:tcBorders>
              <w:left w:val="none" w:sz="0" w:space="0" w:color="auto"/>
              <w:bottom w:val="nil"/>
              <w:right w:val="none" w:sz="0" w:space="0" w:color="auto"/>
            </w:tcBorders>
            <w:shd w:val="clear" w:color="auto" w:fill="auto"/>
            <w:vAlign w:val="center"/>
          </w:tcPr>
          <w:p w14:paraId="6F6C26C5"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N</w:t>
            </w:r>
          </w:p>
        </w:tc>
        <w:tc>
          <w:tcPr>
            <w:tcW w:w="601" w:type="dxa"/>
            <w:vMerge w:val="restart"/>
            <w:tcBorders>
              <w:left w:val="none" w:sz="0" w:space="0" w:color="auto"/>
              <w:bottom w:val="single" w:sz="4" w:space="0" w:color="auto"/>
              <w:right w:val="none" w:sz="0" w:space="0" w:color="auto"/>
            </w:tcBorders>
            <w:shd w:val="clear" w:color="auto" w:fill="auto"/>
            <w:vAlign w:val="center"/>
          </w:tcPr>
          <w:p w14:paraId="231849BB"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rPr>
            </w:pPr>
            <m:oMathPara>
              <m:oMath>
                <m:acc>
                  <m:accPr>
                    <m:chr m:val="̅"/>
                    <m:ctrlPr>
                      <w:rPr>
                        <w:rFonts w:ascii="Cambria Math" w:hAnsi="Cambria Math" w:cs="Times New Roman"/>
                        <w:color w:val="000000"/>
                        <w:szCs w:val="20"/>
                      </w:rPr>
                    </m:ctrlPr>
                  </m:accPr>
                  <m:e>
                    <m:r>
                      <m:rPr>
                        <m:sty m:val="b"/>
                      </m:rPr>
                      <w:rPr>
                        <w:rFonts w:ascii="Cambria Math" w:hAnsi="Cambria Math" w:cs="Times New Roman"/>
                        <w:color w:val="000000"/>
                        <w:szCs w:val="20"/>
                      </w:rPr>
                      <m:t>X</m:t>
                    </m:r>
                  </m:e>
                </m:acc>
              </m:oMath>
            </m:oMathPara>
          </w:p>
        </w:tc>
        <w:tc>
          <w:tcPr>
            <w:tcW w:w="519" w:type="dxa"/>
            <w:vMerge w:val="restart"/>
            <w:tcBorders>
              <w:left w:val="none" w:sz="0" w:space="0" w:color="auto"/>
              <w:bottom w:val="single" w:sz="4" w:space="0" w:color="auto"/>
              <w:right w:val="none" w:sz="0" w:space="0" w:color="auto"/>
            </w:tcBorders>
            <w:shd w:val="clear" w:color="auto" w:fill="auto"/>
            <w:vAlign w:val="center"/>
          </w:tcPr>
          <w:p w14:paraId="75D14FA4"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Ss</w:t>
            </w:r>
          </w:p>
        </w:tc>
        <w:tc>
          <w:tcPr>
            <w:tcW w:w="577" w:type="dxa"/>
            <w:vMerge w:val="restart"/>
            <w:tcBorders>
              <w:left w:val="none" w:sz="0" w:space="0" w:color="auto"/>
              <w:bottom w:val="single" w:sz="4" w:space="0" w:color="auto"/>
              <w:right w:val="none" w:sz="0" w:space="0" w:color="auto"/>
            </w:tcBorders>
            <w:shd w:val="clear" w:color="auto" w:fill="auto"/>
            <w:vAlign w:val="center"/>
          </w:tcPr>
          <w:p w14:paraId="79E93611"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rPr>
            </w:pPr>
            <m:oMathPara>
              <m:oMath>
                <m:sSub>
                  <m:sSubPr>
                    <m:ctrlPr>
                      <w:rPr>
                        <w:rFonts w:ascii="Cambria Math" w:hAnsi="Cambria Math" w:cs="Times New Roman"/>
                        <w:color w:val="000000"/>
                        <w:szCs w:val="20"/>
                      </w:rPr>
                    </m:ctrlPr>
                  </m:sSubPr>
                  <m:e>
                    <m:r>
                      <m:rPr>
                        <m:sty m:val="b"/>
                      </m:rPr>
                      <w:rPr>
                        <w:rFonts w:ascii="Cambria Math" w:hAnsi="Cambria Math" w:cs="Times New Roman"/>
                        <w:color w:val="000000"/>
                        <w:szCs w:val="20"/>
                      </w:rPr>
                      <m:t>Se</m:t>
                    </m:r>
                  </m:e>
                  <m:sub>
                    <m:acc>
                      <m:accPr>
                        <m:chr m:val="̅"/>
                        <m:ctrlPr>
                          <w:rPr>
                            <w:rFonts w:ascii="Cambria Math" w:hAnsi="Cambria Math" w:cs="Times New Roman"/>
                            <w:color w:val="000000"/>
                            <w:szCs w:val="20"/>
                          </w:rPr>
                        </m:ctrlPr>
                      </m:accPr>
                      <m:e>
                        <m:r>
                          <m:rPr>
                            <m:sty m:val="b"/>
                          </m:rPr>
                          <w:rPr>
                            <w:rFonts w:ascii="Cambria Math" w:hAnsi="Cambria Math" w:cs="Times New Roman"/>
                            <w:color w:val="000000"/>
                            <w:szCs w:val="20"/>
                          </w:rPr>
                          <m:t>X</m:t>
                        </m:r>
                      </m:e>
                    </m:acc>
                  </m:sub>
                </m:sSub>
              </m:oMath>
            </m:oMathPara>
          </w:p>
        </w:tc>
        <w:tc>
          <w:tcPr>
            <w:tcW w:w="2272" w:type="dxa"/>
            <w:gridSpan w:val="3"/>
            <w:tcBorders>
              <w:left w:val="none" w:sz="0" w:space="0" w:color="auto"/>
              <w:bottom w:val="single" w:sz="4" w:space="0" w:color="auto"/>
              <w:right w:val="none" w:sz="0" w:space="0" w:color="auto"/>
            </w:tcBorders>
            <w:shd w:val="clear" w:color="auto" w:fill="auto"/>
          </w:tcPr>
          <w:p w14:paraId="02CC352C" w14:textId="77777777" w:rsidR="000E13E2" w:rsidRPr="00EC2BCC" w:rsidRDefault="000E13E2"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t Test</w:t>
            </w:r>
          </w:p>
        </w:tc>
      </w:tr>
      <w:tr w:rsidR="000E13E2" w:rsidRPr="00EC2BCC" w14:paraId="6BD0BB11" w14:textId="77777777" w:rsidTr="004E7C99">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43" w:type="dxa"/>
            <w:vMerge/>
            <w:tcBorders>
              <w:left w:val="none" w:sz="0" w:space="0" w:color="auto"/>
              <w:right w:val="none" w:sz="0" w:space="0" w:color="auto"/>
            </w:tcBorders>
            <w:shd w:val="clear" w:color="auto" w:fill="auto"/>
          </w:tcPr>
          <w:p w14:paraId="4E68E029" w14:textId="77777777" w:rsidR="000E13E2" w:rsidRPr="00EC2BCC" w:rsidRDefault="000E13E2" w:rsidP="004E7C99">
            <w:pPr>
              <w:spacing w:line="360" w:lineRule="auto"/>
              <w:jc w:val="center"/>
              <w:rPr>
                <w:rFonts w:cs="Times New Roman"/>
                <w:b w:val="0"/>
                <w:bCs w:val="0"/>
                <w:szCs w:val="20"/>
              </w:rPr>
            </w:pPr>
          </w:p>
        </w:tc>
        <w:tc>
          <w:tcPr>
            <w:tcW w:w="1559" w:type="dxa"/>
            <w:vMerge/>
            <w:tcBorders>
              <w:top w:val="nil"/>
              <w:left w:val="none" w:sz="0" w:space="0" w:color="auto"/>
              <w:bottom w:val="single" w:sz="4" w:space="0" w:color="auto"/>
              <w:right w:val="none" w:sz="0" w:space="0" w:color="auto"/>
            </w:tcBorders>
            <w:shd w:val="clear" w:color="auto" w:fill="auto"/>
          </w:tcPr>
          <w:p w14:paraId="286C7583"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szCs w:val="20"/>
              </w:rPr>
            </w:pPr>
          </w:p>
        </w:tc>
        <w:tc>
          <w:tcPr>
            <w:tcW w:w="851" w:type="dxa"/>
            <w:vMerge/>
            <w:tcBorders>
              <w:top w:val="nil"/>
              <w:left w:val="none" w:sz="0" w:space="0" w:color="auto"/>
              <w:bottom w:val="single" w:sz="4" w:space="0" w:color="auto"/>
              <w:right w:val="none" w:sz="0" w:space="0" w:color="auto"/>
            </w:tcBorders>
            <w:shd w:val="clear" w:color="auto" w:fill="auto"/>
          </w:tcPr>
          <w:p w14:paraId="63E4FCA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Cs w:val="20"/>
              </w:rPr>
            </w:pPr>
          </w:p>
        </w:tc>
        <w:tc>
          <w:tcPr>
            <w:tcW w:w="601" w:type="dxa"/>
            <w:vMerge/>
            <w:tcBorders>
              <w:top w:val="single" w:sz="4" w:space="0" w:color="auto"/>
              <w:left w:val="none" w:sz="0" w:space="0" w:color="auto"/>
              <w:bottom w:val="single" w:sz="4" w:space="0" w:color="auto"/>
              <w:right w:val="none" w:sz="0" w:space="0" w:color="auto"/>
            </w:tcBorders>
            <w:shd w:val="clear" w:color="auto" w:fill="auto"/>
          </w:tcPr>
          <w:p w14:paraId="62BD793E"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Cs w:val="20"/>
              </w:rPr>
            </w:pPr>
          </w:p>
        </w:tc>
        <w:tc>
          <w:tcPr>
            <w:tcW w:w="519" w:type="dxa"/>
            <w:vMerge/>
            <w:tcBorders>
              <w:top w:val="single" w:sz="4" w:space="0" w:color="auto"/>
              <w:left w:val="none" w:sz="0" w:space="0" w:color="auto"/>
              <w:bottom w:val="single" w:sz="4" w:space="0" w:color="auto"/>
              <w:right w:val="none" w:sz="0" w:space="0" w:color="auto"/>
            </w:tcBorders>
            <w:shd w:val="clear" w:color="auto" w:fill="auto"/>
          </w:tcPr>
          <w:p w14:paraId="19E132E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Cs w:val="20"/>
              </w:rPr>
            </w:pPr>
          </w:p>
        </w:tc>
        <w:tc>
          <w:tcPr>
            <w:tcW w:w="577" w:type="dxa"/>
            <w:vMerge/>
            <w:tcBorders>
              <w:top w:val="single" w:sz="4" w:space="0" w:color="auto"/>
              <w:left w:val="none" w:sz="0" w:space="0" w:color="auto"/>
              <w:bottom w:val="single" w:sz="4" w:space="0" w:color="auto"/>
              <w:right w:val="none" w:sz="0" w:space="0" w:color="auto"/>
            </w:tcBorders>
            <w:shd w:val="clear" w:color="auto" w:fill="auto"/>
          </w:tcPr>
          <w:p w14:paraId="6F6B0A5B"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Cs w:val="20"/>
              </w:rPr>
            </w:pPr>
          </w:p>
        </w:tc>
        <w:tc>
          <w:tcPr>
            <w:tcW w:w="756" w:type="dxa"/>
            <w:tcBorders>
              <w:top w:val="single" w:sz="4" w:space="0" w:color="auto"/>
              <w:left w:val="none" w:sz="0" w:space="0" w:color="auto"/>
              <w:bottom w:val="single" w:sz="4" w:space="0" w:color="auto"/>
              <w:right w:val="none" w:sz="0" w:space="0" w:color="auto"/>
            </w:tcBorders>
            <w:shd w:val="clear" w:color="auto" w:fill="auto"/>
            <w:vAlign w:val="center"/>
          </w:tcPr>
          <w:p w14:paraId="78792C9B"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Cs w:val="20"/>
              </w:rPr>
            </w:pPr>
            <w:r w:rsidRPr="00EC2BCC">
              <w:rPr>
                <w:rFonts w:cs="Times New Roman"/>
                <w:b/>
                <w:bCs/>
                <w:color w:val="000000"/>
                <w:szCs w:val="20"/>
                <w:lang w:val="en"/>
              </w:rPr>
              <w:t>t</w:t>
            </w:r>
          </w:p>
        </w:tc>
        <w:tc>
          <w:tcPr>
            <w:tcW w:w="791" w:type="dxa"/>
            <w:tcBorders>
              <w:top w:val="single" w:sz="4" w:space="0" w:color="auto"/>
              <w:left w:val="none" w:sz="0" w:space="0" w:color="auto"/>
              <w:bottom w:val="single" w:sz="4" w:space="0" w:color="auto"/>
              <w:right w:val="none" w:sz="0" w:space="0" w:color="auto"/>
            </w:tcBorders>
            <w:shd w:val="clear" w:color="auto" w:fill="auto"/>
            <w:tcMar>
              <w:left w:w="28" w:type="dxa"/>
              <w:right w:w="28" w:type="dxa"/>
            </w:tcMar>
            <w:vAlign w:val="center"/>
          </w:tcPr>
          <w:p w14:paraId="5BB1378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Cs w:val="20"/>
              </w:rPr>
            </w:pPr>
            <w:r w:rsidRPr="00EC2BCC">
              <w:rPr>
                <w:rFonts w:cs="Times New Roman"/>
                <w:b/>
                <w:bCs/>
                <w:color w:val="000000"/>
                <w:szCs w:val="20"/>
                <w:lang w:val="en"/>
              </w:rPr>
              <w:t>Sd</w:t>
            </w:r>
          </w:p>
        </w:tc>
        <w:tc>
          <w:tcPr>
            <w:tcW w:w="725" w:type="dxa"/>
            <w:tcBorders>
              <w:top w:val="single" w:sz="4" w:space="0" w:color="auto"/>
              <w:left w:val="none" w:sz="0" w:space="0" w:color="auto"/>
              <w:bottom w:val="single" w:sz="4" w:space="0" w:color="auto"/>
              <w:right w:val="none" w:sz="0" w:space="0" w:color="auto"/>
            </w:tcBorders>
            <w:shd w:val="clear" w:color="auto" w:fill="auto"/>
            <w:vAlign w:val="center"/>
          </w:tcPr>
          <w:p w14:paraId="38AD4F8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Cs w:val="20"/>
              </w:rPr>
            </w:pPr>
            <w:r w:rsidRPr="00EC2BCC">
              <w:rPr>
                <w:rFonts w:cs="Times New Roman"/>
                <w:b/>
                <w:bCs/>
                <w:color w:val="000000"/>
                <w:szCs w:val="20"/>
                <w:lang w:val="en"/>
              </w:rPr>
              <w:t>p</w:t>
            </w:r>
          </w:p>
        </w:tc>
      </w:tr>
      <w:tr w:rsidR="000E13E2" w:rsidRPr="00EC2BCC" w14:paraId="3AE37A8F" w14:textId="77777777" w:rsidTr="004E7C99">
        <w:trPr>
          <w:trHeight w:val="151"/>
        </w:trPr>
        <w:tc>
          <w:tcPr>
            <w:cnfStyle w:val="001000000000" w:firstRow="0" w:lastRow="0" w:firstColumn="1" w:lastColumn="0" w:oddVBand="0" w:evenVBand="0" w:oddHBand="0" w:evenHBand="0" w:firstRowFirstColumn="0" w:firstRowLastColumn="0" w:lastRowFirstColumn="0" w:lastRowLastColumn="0"/>
            <w:tcW w:w="1843" w:type="dxa"/>
            <w:vMerge w:val="restart"/>
            <w:tcBorders>
              <w:bottom w:val="nil"/>
            </w:tcBorders>
            <w:shd w:val="clear" w:color="auto" w:fill="auto"/>
            <w:vAlign w:val="center"/>
          </w:tcPr>
          <w:p w14:paraId="41A570E3" w14:textId="77777777" w:rsidR="000E13E2" w:rsidRPr="00EC2BCC" w:rsidRDefault="000E13E2" w:rsidP="004E7C99">
            <w:pPr>
              <w:spacing w:line="360" w:lineRule="auto"/>
              <w:rPr>
                <w:rFonts w:cs="Times New Roman"/>
                <w:bCs w:val="0"/>
                <w:color w:val="000000"/>
                <w:szCs w:val="20"/>
              </w:rPr>
            </w:pPr>
            <w:r w:rsidRPr="00EC2BCC">
              <w:rPr>
                <w:rFonts w:cs="Times New Roman"/>
                <w:b w:val="0"/>
                <w:bCs w:val="0"/>
                <w:color w:val="000000"/>
                <w:szCs w:val="20"/>
                <w:lang w:val="en" w:eastAsia="en-GB"/>
              </w:rPr>
              <w:t>Process Strategies</w:t>
            </w:r>
          </w:p>
        </w:tc>
        <w:tc>
          <w:tcPr>
            <w:tcW w:w="1559" w:type="dxa"/>
            <w:tcBorders>
              <w:top w:val="single" w:sz="4" w:space="0" w:color="auto"/>
              <w:bottom w:val="nil"/>
            </w:tcBorders>
            <w:shd w:val="clear" w:color="auto" w:fill="auto"/>
            <w:vAlign w:val="center"/>
          </w:tcPr>
          <w:p w14:paraId="02E89C18" w14:textId="77777777" w:rsidR="000E13E2" w:rsidRPr="00EC2BCC" w:rsidRDefault="000E13E2"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bCs/>
                <w:szCs w:val="20"/>
              </w:rPr>
            </w:pPr>
            <w:r w:rsidRPr="00EC2BCC">
              <w:rPr>
                <w:rFonts w:cs="Times New Roman"/>
                <w:szCs w:val="20"/>
              </w:rPr>
              <w:t>Aphantasic</w:t>
            </w:r>
          </w:p>
        </w:tc>
        <w:tc>
          <w:tcPr>
            <w:tcW w:w="851" w:type="dxa"/>
            <w:tcBorders>
              <w:top w:val="single" w:sz="4" w:space="0" w:color="auto"/>
              <w:bottom w:val="nil"/>
            </w:tcBorders>
            <w:shd w:val="clear" w:color="auto" w:fill="auto"/>
            <w:vAlign w:val="center"/>
          </w:tcPr>
          <w:p w14:paraId="30B9003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64</w:t>
            </w:r>
          </w:p>
        </w:tc>
        <w:tc>
          <w:tcPr>
            <w:tcW w:w="601" w:type="dxa"/>
            <w:tcBorders>
              <w:top w:val="single" w:sz="4" w:space="0" w:color="auto"/>
              <w:bottom w:val="nil"/>
            </w:tcBorders>
            <w:shd w:val="clear" w:color="auto" w:fill="auto"/>
            <w:vAlign w:val="center"/>
          </w:tcPr>
          <w:p w14:paraId="4449FA00"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3.27</w:t>
            </w:r>
          </w:p>
        </w:tc>
        <w:tc>
          <w:tcPr>
            <w:tcW w:w="519" w:type="dxa"/>
            <w:tcBorders>
              <w:top w:val="single" w:sz="4" w:space="0" w:color="auto"/>
              <w:bottom w:val="nil"/>
            </w:tcBorders>
            <w:shd w:val="clear" w:color="auto" w:fill="auto"/>
            <w:vAlign w:val="center"/>
          </w:tcPr>
          <w:p w14:paraId="6508AF6F"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.74</w:t>
            </w:r>
          </w:p>
        </w:tc>
        <w:tc>
          <w:tcPr>
            <w:tcW w:w="577" w:type="dxa"/>
            <w:tcBorders>
              <w:top w:val="single" w:sz="4" w:space="0" w:color="auto"/>
              <w:bottom w:val="nil"/>
            </w:tcBorders>
            <w:shd w:val="clear" w:color="auto" w:fill="auto"/>
            <w:vAlign w:val="center"/>
          </w:tcPr>
          <w:p w14:paraId="193F2293"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.09</w:t>
            </w:r>
          </w:p>
        </w:tc>
        <w:tc>
          <w:tcPr>
            <w:tcW w:w="756" w:type="dxa"/>
            <w:vMerge w:val="restart"/>
            <w:tcBorders>
              <w:top w:val="single" w:sz="4" w:space="0" w:color="auto"/>
              <w:bottom w:val="single" w:sz="4" w:space="0" w:color="auto"/>
            </w:tcBorders>
            <w:shd w:val="clear" w:color="auto" w:fill="auto"/>
            <w:vAlign w:val="center"/>
          </w:tcPr>
          <w:p w14:paraId="261E0E70"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-.915</w:t>
            </w:r>
          </w:p>
        </w:tc>
        <w:tc>
          <w:tcPr>
            <w:tcW w:w="791" w:type="dxa"/>
            <w:vMerge w:val="restart"/>
            <w:tcBorders>
              <w:top w:val="single" w:sz="4" w:space="0" w:color="auto"/>
              <w:bottom w:val="single" w:sz="4" w:space="0" w:color="auto"/>
            </w:tcBorders>
            <w:shd w:val="clear" w:color="auto" w:fill="auto"/>
            <w:tcMar>
              <w:left w:w="28" w:type="dxa"/>
              <w:right w:w="28" w:type="dxa"/>
            </w:tcMar>
            <w:vAlign w:val="center"/>
          </w:tcPr>
          <w:p w14:paraId="6A1C988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258</w:t>
            </w:r>
          </w:p>
        </w:tc>
        <w:tc>
          <w:tcPr>
            <w:tcW w:w="725" w:type="dxa"/>
            <w:vMerge w:val="restart"/>
            <w:tcBorders>
              <w:top w:val="single" w:sz="4" w:space="0" w:color="auto"/>
              <w:bottom w:val="single" w:sz="4" w:space="0" w:color="auto"/>
            </w:tcBorders>
            <w:shd w:val="clear" w:color="auto" w:fill="auto"/>
            <w:vAlign w:val="center"/>
          </w:tcPr>
          <w:p w14:paraId="66147BEF"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.361</w:t>
            </w:r>
          </w:p>
        </w:tc>
      </w:tr>
      <w:tr w:rsidR="000E13E2" w:rsidRPr="00EC2BCC" w14:paraId="4DFD1142" w14:textId="77777777" w:rsidTr="004E7C99">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single" w:sz="4" w:space="0" w:color="auto"/>
            </w:tcBorders>
            <w:shd w:val="clear" w:color="auto" w:fill="auto"/>
            <w:vAlign w:val="center"/>
          </w:tcPr>
          <w:p w14:paraId="43E187A8" w14:textId="77777777" w:rsidR="000E13E2" w:rsidRPr="00EC2BCC" w:rsidRDefault="000E13E2" w:rsidP="004E7C99">
            <w:pPr>
              <w:spacing w:line="360" w:lineRule="auto"/>
              <w:rPr>
                <w:rFonts w:cs="Times New Roman"/>
                <w:szCs w:val="20"/>
              </w:rPr>
            </w:pPr>
          </w:p>
        </w:tc>
        <w:tc>
          <w:tcPr>
            <w:tcW w:w="1559" w:type="dxa"/>
            <w:tcBorders>
              <w:top w:val="nil"/>
              <w:bottom w:val="single" w:sz="4" w:space="0" w:color="auto"/>
            </w:tcBorders>
            <w:shd w:val="clear" w:color="auto" w:fill="auto"/>
            <w:vAlign w:val="center"/>
          </w:tcPr>
          <w:p w14:paraId="3E1E0B5A" w14:textId="77777777" w:rsidR="000E13E2" w:rsidRPr="00EC2BCC" w:rsidRDefault="000E13E2" w:rsidP="004E7C99">
            <w:pPr>
              <w:spacing w:line="360" w:lineRule="auto"/>
              <w:cnfStyle w:val="000000100000" w:firstRow="0" w:lastRow="0" w:firstColumn="0" w:lastColumn="0" w:oddVBand="0" w:evenVBand="0" w:oddHBand="1" w:evenHBand="0" w:firstRowFirstColumn="0" w:firstRowLastColumn="0" w:lastRowFirstColumn="0" w:lastRowLastColumn="0"/>
              <w:rPr>
                <w:rFonts w:cs="Times New Roman"/>
                <w:bCs/>
                <w:szCs w:val="20"/>
              </w:rPr>
            </w:pPr>
            <w:r w:rsidRPr="00EC2BCC">
              <w:rPr>
                <w:rFonts w:cs="Times New Roman"/>
                <w:bCs/>
                <w:szCs w:val="20"/>
                <w:lang w:val="en"/>
              </w:rPr>
              <w:t xml:space="preserve">Not </w:t>
            </w:r>
            <w:r w:rsidRPr="00EC2BCC">
              <w:rPr>
                <w:rFonts w:cs="Times New Roman"/>
                <w:szCs w:val="20"/>
              </w:rPr>
              <w:t>Aphantasic</w:t>
            </w:r>
          </w:p>
        </w:tc>
        <w:tc>
          <w:tcPr>
            <w:tcW w:w="851" w:type="dxa"/>
            <w:tcBorders>
              <w:top w:val="nil"/>
              <w:bottom w:val="single" w:sz="4" w:space="0" w:color="auto"/>
            </w:tcBorders>
            <w:shd w:val="clear" w:color="auto" w:fill="auto"/>
            <w:vAlign w:val="center"/>
          </w:tcPr>
          <w:p w14:paraId="21A654F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196</w:t>
            </w:r>
          </w:p>
        </w:tc>
        <w:tc>
          <w:tcPr>
            <w:tcW w:w="601" w:type="dxa"/>
            <w:tcBorders>
              <w:top w:val="nil"/>
              <w:bottom w:val="single" w:sz="4" w:space="0" w:color="auto"/>
            </w:tcBorders>
            <w:shd w:val="clear" w:color="auto" w:fill="auto"/>
            <w:vAlign w:val="center"/>
          </w:tcPr>
          <w:p w14:paraId="05153B7B"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3.36</w:t>
            </w:r>
          </w:p>
        </w:tc>
        <w:tc>
          <w:tcPr>
            <w:tcW w:w="519" w:type="dxa"/>
            <w:tcBorders>
              <w:top w:val="nil"/>
              <w:bottom w:val="single" w:sz="4" w:space="0" w:color="auto"/>
            </w:tcBorders>
            <w:shd w:val="clear" w:color="auto" w:fill="auto"/>
            <w:vAlign w:val="center"/>
          </w:tcPr>
          <w:p w14:paraId="1A978B51"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.71</w:t>
            </w:r>
          </w:p>
        </w:tc>
        <w:tc>
          <w:tcPr>
            <w:tcW w:w="577" w:type="dxa"/>
            <w:tcBorders>
              <w:top w:val="nil"/>
              <w:bottom w:val="single" w:sz="4" w:space="0" w:color="auto"/>
            </w:tcBorders>
            <w:shd w:val="clear" w:color="auto" w:fill="auto"/>
            <w:vAlign w:val="center"/>
          </w:tcPr>
          <w:p w14:paraId="42C86DA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.05</w:t>
            </w:r>
          </w:p>
        </w:tc>
        <w:tc>
          <w:tcPr>
            <w:tcW w:w="756" w:type="dxa"/>
            <w:vMerge/>
            <w:tcBorders>
              <w:top w:val="nil"/>
              <w:bottom w:val="single" w:sz="4" w:space="0" w:color="auto"/>
            </w:tcBorders>
            <w:shd w:val="clear" w:color="auto" w:fill="auto"/>
            <w:vAlign w:val="center"/>
          </w:tcPr>
          <w:p w14:paraId="1E23879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91" w:type="dxa"/>
            <w:vMerge/>
            <w:tcBorders>
              <w:top w:val="nil"/>
              <w:bottom w:val="single" w:sz="4" w:space="0" w:color="auto"/>
            </w:tcBorders>
            <w:shd w:val="clear" w:color="auto" w:fill="auto"/>
            <w:tcMar>
              <w:left w:w="28" w:type="dxa"/>
              <w:right w:w="28" w:type="dxa"/>
            </w:tcMar>
            <w:vAlign w:val="center"/>
          </w:tcPr>
          <w:p w14:paraId="5415A996"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25" w:type="dxa"/>
            <w:vMerge/>
            <w:tcBorders>
              <w:top w:val="nil"/>
              <w:bottom w:val="single" w:sz="4" w:space="0" w:color="auto"/>
            </w:tcBorders>
            <w:shd w:val="clear" w:color="auto" w:fill="auto"/>
            <w:vAlign w:val="center"/>
          </w:tcPr>
          <w:p w14:paraId="5E17B163"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r>
      <w:tr w:rsidR="000E13E2" w:rsidRPr="00EC2BCC" w14:paraId="71141BE7" w14:textId="77777777" w:rsidTr="004E7C99">
        <w:trPr>
          <w:trHeight w:val="151"/>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bottom w:val="nil"/>
            </w:tcBorders>
            <w:shd w:val="clear" w:color="auto" w:fill="auto"/>
            <w:vAlign w:val="center"/>
          </w:tcPr>
          <w:p w14:paraId="008BF935" w14:textId="77777777" w:rsidR="000E13E2" w:rsidRPr="00EC2BCC" w:rsidRDefault="000E13E2" w:rsidP="004E7C99">
            <w:pPr>
              <w:spacing w:line="360" w:lineRule="auto"/>
              <w:rPr>
                <w:rFonts w:cs="Times New Roman"/>
                <w:b w:val="0"/>
                <w:color w:val="000000"/>
                <w:szCs w:val="20"/>
              </w:rPr>
            </w:pPr>
            <w:r w:rsidRPr="00EC2BCC">
              <w:rPr>
                <w:rFonts w:cs="Times New Roman"/>
                <w:b w:val="0"/>
                <w:bCs w:val="0"/>
                <w:color w:val="000000"/>
                <w:szCs w:val="20"/>
                <w:lang w:val="en" w:eastAsia="en-GB"/>
              </w:rPr>
              <w:t>Editing Strategies</w:t>
            </w:r>
          </w:p>
        </w:tc>
        <w:tc>
          <w:tcPr>
            <w:tcW w:w="1559" w:type="dxa"/>
            <w:tcBorders>
              <w:top w:val="single" w:sz="4" w:space="0" w:color="auto"/>
              <w:bottom w:val="nil"/>
            </w:tcBorders>
            <w:shd w:val="clear" w:color="auto" w:fill="auto"/>
            <w:vAlign w:val="center"/>
          </w:tcPr>
          <w:p w14:paraId="14E40CC5" w14:textId="77777777" w:rsidR="000E13E2" w:rsidRPr="00EC2BCC" w:rsidRDefault="000E13E2"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bCs/>
                <w:szCs w:val="20"/>
              </w:rPr>
            </w:pPr>
            <w:r w:rsidRPr="00EC2BCC">
              <w:rPr>
                <w:rFonts w:cs="Times New Roman"/>
                <w:szCs w:val="20"/>
              </w:rPr>
              <w:t>Aphantasic</w:t>
            </w:r>
          </w:p>
        </w:tc>
        <w:tc>
          <w:tcPr>
            <w:tcW w:w="851" w:type="dxa"/>
            <w:tcBorders>
              <w:top w:val="single" w:sz="4" w:space="0" w:color="auto"/>
              <w:bottom w:val="nil"/>
            </w:tcBorders>
            <w:shd w:val="clear" w:color="auto" w:fill="auto"/>
            <w:vAlign w:val="center"/>
          </w:tcPr>
          <w:p w14:paraId="0BCAA2FC"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64</w:t>
            </w:r>
          </w:p>
        </w:tc>
        <w:tc>
          <w:tcPr>
            <w:tcW w:w="601" w:type="dxa"/>
            <w:tcBorders>
              <w:top w:val="single" w:sz="4" w:space="0" w:color="auto"/>
              <w:bottom w:val="nil"/>
            </w:tcBorders>
            <w:shd w:val="clear" w:color="auto" w:fill="auto"/>
            <w:vAlign w:val="center"/>
          </w:tcPr>
          <w:p w14:paraId="77DB4C1D"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3.29</w:t>
            </w:r>
          </w:p>
        </w:tc>
        <w:tc>
          <w:tcPr>
            <w:tcW w:w="519" w:type="dxa"/>
            <w:tcBorders>
              <w:top w:val="single" w:sz="4" w:space="0" w:color="auto"/>
              <w:bottom w:val="nil"/>
            </w:tcBorders>
            <w:shd w:val="clear" w:color="auto" w:fill="auto"/>
            <w:vAlign w:val="center"/>
          </w:tcPr>
          <w:p w14:paraId="3303DD53"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.59</w:t>
            </w:r>
          </w:p>
        </w:tc>
        <w:tc>
          <w:tcPr>
            <w:tcW w:w="577" w:type="dxa"/>
            <w:tcBorders>
              <w:top w:val="single" w:sz="4" w:space="0" w:color="auto"/>
              <w:bottom w:val="nil"/>
            </w:tcBorders>
            <w:shd w:val="clear" w:color="auto" w:fill="auto"/>
            <w:vAlign w:val="center"/>
          </w:tcPr>
          <w:p w14:paraId="364E80B6"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.07</w:t>
            </w:r>
          </w:p>
        </w:tc>
        <w:tc>
          <w:tcPr>
            <w:tcW w:w="756" w:type="dxa"/>
            <w:vMerge w:val="restart"/>
            <w:tcBorders>
              <w:top w:val="single" w:sz="4" w:space="0" w:color="auto"/>
              <w:bottom w:val="single" w:sz="4" w:space="0" w:color="auto"/>
            </w:tcBorders>
            <w:shd w:val="clear" w:color="auto" w:fill="auto"/>
            <w:vAlign w:val="center"/>
          </w:tcPr>
          <w:p w14:paraId="7CAC8B7F"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-1.391</w:t>
            </w:r>
          </w:p>
        </w:tc>
        <w:tc>
          <w:tcPr>
            <w:tcW w:w="791" w:type="dxa"/>
            <w:vMerge w:val="restart"/>
            <w:tcBorders>
              <w:top w:val="single" w:sz="4" w:space="0" w:color="auto"/>
              <w:bottom w:val="single" w:sz="4" w:space="0" w:color="auto"/>
            </w:tcBorders>
            <w:shd w:val="clear" w:color="auto" w:fill="auto"/>
            <w:tcMar>
              <w:left w:w="28" w:type="dxa"/>
              <w:right w:w="28" w:type="dxa"/>
            </w:tcMar>
            <w:vAlign w:val="center"/>
          </w:tcPr>
          <w:p w14:paraId="02708EFC"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119.052</w:t>
            </w:r>
          </w:p>
        </w:tc>
        <w:tc>
          <w:tcPr>
            <w:tcW w:w="725" w:type="dxa"/>
            <w:vMerge w:val="restart"/>
            <w:tcBorders>
              <w:top w:val="single" w:sz="4" w:space="0" w:color="auto"/>
              <w:bottom w:val="single" w:sz="4" w:space="0" w:color="auto"/>
            </w:tcBorders>
            <w:shd w:val="clear" w:color="auto" w:fill="auto"/>
            <w:vAlign w:val="center"/>
          </w:tcPr>
          <w:p w14:paraId="332A1929"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.167</w:t>
            </w:r>
          </w:p>
        </w:tc>
      </w:tr>
      <w:tr w:rsidR="000E13E2" w:rsidRPr="00EC2BCC" w14:paraId="62143579" w14:textId="77777777" w:rsidTr="004E7C99">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single" w:sz="4" w:space="0" w:color="auto"/>
            </w:tcBorders>
            <w:shd w:val="clear" w:color="auto" w:fill="auto"/>
            <w:vAlign w:val="center"/>
          </w:tcPr>
          <w:p w14:paraId="2B7F4DE0" w14:textId="77777777" w:rsidR="000E13E2" w:rsidRPr="00EC2BCC" w:rsidRDefault="000E13E2" w:rsidP="004E7C99">
            <w:pPr>
              <w:spacing w:line="360" w:lineRule="auto"/>
              <w:rPr>
                <w:rFonts w:cs="Times New Roman"/>
                <w:szCs w:val="20"/>
              </w:rPr>
            </w:pPr>
          </w:p>
        </w:tc>
        <w:tc>
          <w:tcPr>
            <w:tcW w:w="1559" w:type="dxa"/>
            <w:tcBorders>
              <w:top w:val="nil"/>
              <w:bottom w:val="single" w:sz="4" w:space="0" w:color="auto"/>
            </w:tcBorders>
            <w:shd w:val="clear" w:color="auto" w:fill="auto"/>
            <w:vAlign w:val="center"/>
          </w:tcPr>
          <w:p w14:paraId="4DDB65DD" w14:textId="77777777" w:rsidR="000E13E2" w:rsidRPr="00EC2BCC" w:rsidRDefault="000E13E2" w:rsidP="004E7C99">
            <w:pPr>
              <w:spacing w:line="360" w:lineRule="auto"/>
              <w:cnfStyle w:val="000000100000" w:firstRow="0" w:lastRow="0" w:firstColumn="0" w:lastColumn="0" w:oddVBand="0" w:evenVBand="0" w:oddHBand="1" w:evenHBand="0" w:firstRowFirstColumn="0" w:firstRowLastColumn="0" w:lastRowFirstColumn="0" w:lastRowLastColumn="0"/>
              <w:rPr>
                <w:rFonts w:cs="Times New Roman"/>
                <w:bCs/>
                <w:szCs w:val="20"/>
              </w:rPr>
            </w:pPr>
            <w:r w:rsidRPr="00EC2BCC">
              <w:rPr>
                <w:rFonts w:cs="Times New Roman"/>
                <w:bCs/>
                <w:szCs w:val="20"/>
                <w:lang w:val="en"/>
              </w:rPr>
              <w:t xml:space="preserve">Not </w:t>
            </w:r>
            <w:r w:rsidRPr="00EC2BCC">
              <w:rPr>
                <w:rFonts w:cs="Times New Roman"/>
                <w:szCs w:val="20"/>
              </w:rPr>
              <w:t>Aphantasic</w:t>
            </w:r>
          </w:p>
        </w:tc>
        <w:tc>
          <w:tcPr>
            <w:tcW w:w="851" w:type="dxa"/>
            <w:tcBorders>
              <w:top w:val="nil"/>
              <w:bottom w:val="single" w:sz="4" w:space="0" w:color="auto"/>
            </w:tcBorders>
            <w:shd w:val="clear" w:color="auto" w:fill="auto"/>
            <w:vAlign w:val="center"/>
          </w:tcPr>
          <w:p w14:paraId="74DFA0CE"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196</w:t>
            </w:r>
          </w:p>
        </w:tc>
        <w:tc>
          <w:tcPr>
            <w:tcW w:w="601" w:type="dxa"/>
            <w:tcBorders>
              <w:top w:val="nil"/>
              <w:bottom w:val="single" w:sz="4" w:space="0" w:color="auto"/>
            </w:tcBorders>
            <w:shd w:val="clear" w:color="auto" w:fill="auto"/>
            <w:vAlign w:val="center"/>
          </w:tcPr>
          <w:p w14:paraId="4228F0A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3.41</w:t>
            </w:r>
          </w:p>
        </w:tc>
        <w:tc>
          <w:tcPr>
            <w:tcW w:w="519" w:type="dxa"/>
            <w:tcBorders>
              <w:top w:val="nil"/>
              <w:bottom w:val="single" w:sz="4" w:space="0" w:color="auto"/>
            </w:tcBorders>
            <w:shd w:val="clear" w:color="auto" w:fill="auto"/>
            <w:vAlign w:val="center"/>
          </w:tcPr>
          <w:p w14:paraId="37A50D36"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.66</w:t>
            </w:r>
          </w:p>
        </w:tc>
        <w:tc>
          <w:tcPr>
            <w:tcW w:w="577" w:type="dxa"/>
            <w:tcBorders>
              <w:top w:val="nil"/>
              <w:bottom w:val="single" w:sz="4" w:space="0" w:color="auto"/>
            </w:tcBorders>
            <w:shd w:val="clear" w:color="auto" w:fill="auto"/>
            <w:vAlign w:val="center"/>
          </w:tcPr>
          <w:p w14:paraId="51F8A29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.05</w:t>
            </w:r>
          </w:p>
        </w:tc>
        <w:tc>
          <w:tcPr>
            <w:tcW w:w="756" w:type="dxa"/>
            <w:vMerge/>
            <w:tcBorders>
              <w:top w:val="nil"/>
              <w:bottom w:val="single" w:sz="4" w:space="0" w:color="auto"/>
            </w:tcBorders>
            <w:shd w:val="clear" w:color="auto" w:fill="auto"/>
            <w:vAlign w:val="center"/>
          </w:tcPr>
          <w:p w14:paraId="4A8249C1"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91" w:type="dxa"/>
            <w:vMerge/>
            <w:tcBorders>
              <w:top w:val="nil"/>
              <w:bottom w:val="single" w:sz="4" w:space="0" w:color="auto"/>
            </w:tcBorders>
            <w:shd w:val="clear" w:color="auto" w:fill="auto"/>
            <w:tcMar>
              <w:left w:w="28" w:type="dxa"/>
              <w:right w:w="28" w:type="dxa"/>
            </w:tcMar>
            <w:vAlign w:val="center"/>
          </w:tcPr>
          <w:p w14:paraId="0354553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25" w:type="dxa"/>
            <w:vMerge/>
            <w:tcBorders>
              <w:top w:val="nil"/>
              <w:bottom w:val="single" w:sz="4" w:space="0" w:color="auto"/>
            </w:tcBorders>
            <w:shd w:val="clear" w:color="auto" w:fill="auto"/>
            <w:vAlign w:val="center"/>
          </w:tcPr>
          <w:p w14:paraId="5556129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r>
      <w:tr w:rsidR="000E13E2" w:rsidRPr="00EC2BCC" w14:paraId="4F27BACB" w14:textId="77777777" w:rsidTr="004E7C99">
        <w:trPr>
          <w:trHeight w:val="151"/>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bottom w:val="nil"/>
            </w:tcBorders>
            <w:shd w:val="clear" w:color="auto" w:fill="auto"/>
            <w:vAlign w:val="center"/>
          </w:tcPr>
          <w:p w14:paraId="3C545526" w14:textId="77777777" w:rsidR="000E13E2" w:rsidRPr="00EC2BCC" w:rsidRDefault="000E13E2" w:rsidP="004E7C99">
            <w:pPr>
              <w:spacing w:line="360" w:lineRule="auto"/>
              <w:rPr>
                <w:rFonts w:cs="Times New Roman"/>
                <w:b w:val="0"/>
                <w:color w:val="000000"/>
                <w:szCs w:val="20"/>
              </w:rPr>
            </w:pPr>
            <w:r w:rsidRPr="00EC2BCC">
              <w:rPr>
                <w:rFonts w:cs="Times New Roman"/>
                <w:b w:val="0"/>
                <w:bCs w:val="0"/>
                <w:color w:val="000000"/>
                <w:szCs w:val="20"/>
                <w:lang w:val="en" w:eastAsia="en-GB"/>
              </w:rPr>
              <w:t>The Mental Model in Learning</w:t>
            </w:r>
          </w:p>
        </w:tc>
        <w:tc>
          <w:tcPr>
            <w:tcW w:w="1559" w:type="dxa"/>
            <w:tcBorders>
              <w:top w:val="single" w:sz="4" w:space="0" w:color="auto"/>
              <w:bottom w:val="nil"/>
            </w:tcBorders>
            <w:shd w:val="clear" w:color="auto" w:fill="auto"/>
            <w:vAlign w:val="center"/>
          </w:tcPr>
          <w:p w14:paraId="0A5365C1" w14:textId="77777777" w:rsidR="000E13E2" w:rsidRPr="00EC2BCC" w:rsidRDefault="000E13E2"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bCs/>
                <w:szCs w:val="20"/>
              </w:rPr>
            </w:pPr>
            <w:r w:rsidRPr="00EC2BCC">
              <w:rPr>
                <w:rFonts w:cs="Times New Roman"/>
                <w:szCs w:val="20"/>
              </w:rPr>
              <w:t>Aphantasic</w:t>
            </w:r>
          </w:p>
        </w:tc>
        <w:tc>
          <w:tcPr>
            <w:tcW w:w="851" w:type="dxa"/>
            <w:tcBorders>
              <w:top w:val="single" w:sz="4" w:space="0" w:color="auto"/>
              <w:bottom w:val="nil"/>
            </w:tcBorders>
            <w:shd w:val="clear" w:color="auto" w:fill="auto"/>
            <w:vAlign w:val="center"/>
          </w:tcPr>
          <w:p w14:paraId="3C735383"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64</w:t>
            </w:r>
          </w:p>
        </w:tc>
        <w:tc>
          <w:tcPr>
            <w:tcW w:w="601" w:type="dxa"/>
            <w:tcBorders>
              <w:top w:val="single" w:sz="4" w:space="0" w:color="auto"/>
              <w:bottom w:val="nil"/>
            </w:tcBorders>
            <w:shd w:val="clear" w:color="auto" w:fill="auto"/>
            <w:vAlign w:val="center"/>
          </w:tcPr>
          <w:p w14:paraId="2F579D7C"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3.64</w:t>
            </w:r>
          </w:p>
        </w:tc>
        <w:tc>
          <w:tcPr>
            <w:tcW w:w="519" w:type="dxa"/>
            <w:tcBorders>
              <w:top w:val="single" w:sz="4" w:space="0" w:color="auto"/>
              <w:bottom w:val="nil"/>
            </w:tcBorders>
            <w:shd w:val="clear" w:color="auto" w:fill="auto"/>
            <w:vAlign w:val="center"/>
          </w:tcPr>
          <w:p w14:paraId="4F41702B"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.44</w:t>
            </w:r>
          </w:p>
        </w:tc>
        <w:tc>
          <w:tcPr>
            <w:tcW w:w="577" w:type="dxa"/>
            <w:tcBorders>
              <w:top w:val="single" w:sz="4" w:space="0" w:color="auto"/>
              <w:bottom w:val="nil"/>
            </w:tcBorders>
            <w:shd w:val="clear" w:color="auto" w:fill="auto"/>
            <w:vAlign w:val="center"/>
          </w:tcPr>
          <w:p w14:paraId="1C78FE76"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.05</w:t>
            </w:r>
          </w:p>
        </w:tc>
        <w:tc>
          <w:tcPr>
            <w:tcW w:w="756" w:type="dxa"/>
            <w:vMerge w:val="restart"/>
            <w:tcBorders>
              <w:top w:val="single" w:sz="4" w:space="0" w:color="auto"/>
              <w:bottom w:val="single" w:sz="4" w:space="0" w:color="auto"/>
            </w:tcBorders>
            <w:shd w:val="clear" w:color="auto" w:fill="auto"/>
            <w:vAlign w:val="center"/>
          </w:tcPr>
          <w:p w14:paraId="68C6AA5D"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-1.640</w:t>
            </w:r>
          </w:p>
        </w:tc>
        <w:tc>
          <w:tcPr>
            <w:tcW w:w="791" w:type="dxa"/>
            <w:vMerge w:val="restart"/>
            <w:tcBorders>
              <w:top w:val="single" w:sz="4" w:space="0" w:color="auto"/>
              <w:bottom w:val="single" w:sz="4" w:space="0" w:color="auto"/>
            </w:tcBorders>
            <w:shd w:val="clear" w:color="auto" w:fill="auto"/>
            <w:tcMar>
              <w:left w:w="28" w:type="dxa"/>
              <w:right w:w="28" w:type="dxa"/>
            </w:tcMar>
            <w:vAlign w:val="center"/>
          </w:tcPr>
          <w:p w14:paraId="2882A62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126.685</w:t>
            </w:r>
          </w:p>
        </w:tc>
        <w:tc>
          <w:tcPr>
            <w:tcW w:w="725" w:type="dxa"/>
            <w:vMerge w:val="restart"/>
            <w:tcBorders>
              <w:top w:val="single" w:sz="4" w:space="0" w:color="auto"/>
              <w:bottom w:val="single" w:sz="4" w:space="0" w:color="auto"/>
            </w:tcBorders>
            <w:shd w:val="clear" w:color="auto" w:fill="auto"/>
            <w:vAlign w:val="center"/>
          </w:tcPr>
          <w:p w14:paraId="372CDD04"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.103</w:t>
            </w:r>
          </w:p>
        </w:tc>
      </w:tr>
      <w:tr w:rsidR="000E13E2" w:rsidRPr="00EC2BCC" w14:paraId="652FC279" w14:textId="77777777" w:rsidTr="004E7C99">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843" w:type="dxa"/>
            <w:vMerge/>
            <w:tcBorders>
              <w:top w:val="nil"/>
              <w:bottom w:val="single" w:sz="4" w:space="0" w:color="auto"/>
            </w:tcBorders>
            <w:shd w:val="clear" w:color="auto" w:fill="auto"/>
            <w:vAlign w:val="center"/>
          </w:tcPr>
          <w:p w14:paraId="4235DD81" w14:textId="77777777" w:rsidR="000E13E2" w:rsidRPr="00EC2BCC" w:rsidRDefault="000E13E2" w:rsidP="004E7C99">
            <w:pPr>
              <w:spacing w:line="360" w:lineRule="auto"/>
              <w:rPr>
                <w:rFonts w:cs="Times New Roman"/>
                <w:szCs w:val="20"/>
              </w:rPr>
            </w:pPr>
          </w:p>
        </w:tc>
        <w:tc>
          <w:tcPr>
            <w:tcW w:w="1559" w:type="dxa"/>
            <w:tcBorders>
              <w:top w:val="nil"/>
              <w:bottom w:val="single" w:sz="4" w:space="0" w:color="auto"/>
            </w:tcBorders>
            <w:shd w:val="clear" w:color="auto" w:fill="auto"/>
            <w:vAlign w:val="center"/>
          </w:tcPr>
          <w:p w14:paraId="277F7CF3" w14:textId="77777777" w:rsidR="000E13E2" w:rsidRPr="00EC2BCC" w:rsidRDefault="000E13E2" w:rsidP="004E7C99">
            <w:pPr>
              <w:spacing w:line="360" w:lineRule="auto"/>
              <w:cnfStyle w:val="000000100000" w:firstRow="0" w:lastRow="0" w:firstColumn="0" w:lastColumn="0" w:oddVBand="0" w:evenVBand="0" w:oddHBand="1" w:evenHBand="0" w:firstRowFirstColumn="0" w:firstRowLastColumn="0" w:lastRowFirstColumn="0" w:lastRowLastColumn="0"/>
              <w:rPr>
                <w:rFonts w:cs="Times New Roman"/>
                <w:bCs/>
                <w:szCs w:val="20"/>
              </w:rPr>
            </w:pPr>
            <w:r w:rsidRPr="00EC2BCC">
              <w:rPr>
                <w:rFonts w:cs="Times New Roman"/>
                <w:bCs/>
                <w:szCs w:val="20"/>
                <w:lang w:val="en"/>
              </w:rPr>
              <w:t xml:space="preserve">Not </w:t>
            </w:r>
            <w:r w:rsidRPr="00EC2BCC">
              <w:rPr>
                <w:rFonts w:cs="Times New Roman"/>
                <w:szCs w:val="20"/>
              </w:rPr>
              <w:t>Aphantasic</w:t>
            </w:r>
          </w:p>
        </w:tc>
        <w:tc>
          <w:tcPr>
            <w:tcW w:w="851" w:type="dxa"/>
            <w:tcBorders>
              <w:top w:val="nil"/>
              <w:bottom w:val="single" w:sz="4" w:space="0" w:color="auto"/>
            </w:tcBorders>
            <w:shd w:val="clear" w:color="auto" w:fill="auto"/>
            <w:vAlign w:val="center"/>
          </w:tcPr>
          <w:p w14:paraId="60E93D02"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196</w:t>
            </w:r>
          </w:p>
        </w:tc>
        <w:tc>
          <w:tcPr>
            <w:tcW w:w="601" w:type="dxa"/>
            <w:tcBorders>
              <w:top w:val="nil"/>
              <w:bottom w:val="single" w:sz="4" w:space="0" w:color="auto"/>
            </w:tcBorders>
            <w:shd w:val="clear" w:color="auto" w:fill="auto"/>
            <w:vAlign w:val="center"/>
          </w:tcPr>
          <w:p w14:paraId="6ED6618C"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3.75</w:t>
            </w:r>
          </w:p>
        </w:tc>
        <w:tc>
          <w:tcPr>
            <w:tcW w:w="519" w:type="dxa"/>
            <w:tcBorders>
              <w:top w:val="nil"/>
              <w:bottom w:val="single" w:sz="4" w:space="0" w:color="auto"/>
            </w:tcBorders>
            <w:shd w:val="clear" w:color="auto" w:fill="auto"/>
            <w:vAlign w:val="center"/>
          </w:tcPr>
          <w:p w14:paraId="3169205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.52</w:t>
            </w:r>
          </w:p>
        </w:tc>
        <w:tc>
          <w:tcPr>
            <w:tcW w:w="577" w:type="dxa"/>
            <w:tcBorders>
              <w:top w:val="nil"/>
              <w:bottom w:val="single" w:sz="4" w:space="0" w:color="auto"/>
            </w:tcBorders>
            <w:shd w:val="clear" w:color="auto" w:fill="auto"/>
            <w:vAlign w:val="center"/>
          </w:tcPr>
          <w:p w14:paraId="2909587B"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.04</w:t>
            </w:r>
          </w:p>
        </w:tc>
        <w:tc>
          <w:tcPr>
            <w:tcW w:w="756" w:type="dxa"/>
            <w:vMerge/>
            <w:tcBorders>
              <w:top w:val="nil"/>
              <w:bottom w:val="single" w:sz="4" w:space="0" w:color="auto"/>
            </w:tcBorders>
            <w:shd w:val="clear" w:color="auto" w:fill="auto"/>
            <w:vAlign w:val="center"/>
          </w:tcPr>
          <w:p w14:paraId="66944218"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91" w:type="dxa"/>
            <w:vMerge/>
            <w:tcBorders>
              <w:top w:val="nil"/>
              <w:bottom w:val="single" w:sz="4" w:space="0" w:color="auto"/>
            </w:tcBorders>
            <w:shd w:val="clear" w:color="auto" w:fill="auto"/>
            <w:tcMar>
              <w:left w:w="28" w:type="dxa"/>
              <w:right w:w="28" w:type="dxa"/>
            </w:tcMar>
            <w:vAlign w:val="center"/>
          </w:tcPr>
          <w:p w14:paraId="60B883A2"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25" w:type="dxa"/>
            <w:vMerge/>
            <w:tcBorders>
              <w:top w:val="nil"/>
              <w:bottom w:val="single" w:sz="4" w:space="0" w:color="auto"/>
            </w:tcBorders>
            <w:shd w:val="clear" w:color="auto" w:fill="auto"/>
            <w:vAlign w:val="center"/>
          </w:tcPr>
          <w:p w14:paraId="219ED3CA"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r>
      <w:tr w:rsidR="000E13E2" w:rsidRPr="00EC2BCC" w14:paraId="4A440B78" w14:textId="77777777" w:rsidTr="004E7C99">
        <w:trPr>
          <w:trHeight w:val="151"/>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tcBorders>
            <w:shd w:val="clear" w:color="auto" w:fill="auto"/>
            <w:vAlign w:val="center"/>
          </w:tcPr>
          <w:p w14:paraId="744490D8" w14:textId="77777777" w:rsidR="000E13E2" w:rsidRPr="00EC2BCC" w:rsidRDefault="000E13E2" w:rsidP="004E7C99">
            <w:pPr>
              <w:spacing w:line="360" w:lineRule="auto"/>
              <w:rPr>
                <w:rFonts w:cs="Times New Roman"/>
                <w:b w:val="0"/>
                <w:color w:val="000000"/>
                <w:szCs w:val="20"/>
              </w:rPr>
            </w:pPr>
            <w:r w:rsidRPr="00EC2BCC">
              <w:rPr>
                <w:rFonts w:cs="Times New Roman"/>
                <w:b w:val="0"/>
                <w:bCs w:val="0"/>
                <w:color w:val="000000"/>
                <w:szCs w:val="20"/>
                <w:lang w:val="en" w:eastAsia="en-GB"/>
              </w:rPr>
              <w:t>Learning Orientations</w:t>
            </w:r>
          </w:p>
        </w:tc>
        <w:tc>
          <w:tcPr>
            <w:tcW w:w="1559" w:type="dxa"/>
            <w:tcBorders>
              <w:top w:val="single" w:sz="4" w:space="0" w:color="auto"/>
            </w:tcBorders>
            <w:shd w:val="clear" w:color="auto" w:fill="auto"/>
            <w:vAlign w:val="center"/>
          </w:tcPr>
          <w:p w14:paraId="05759619" w14:textId="77777777" w:rsidR="000E13E2" w:rsidRPr="00EC2BCC" w:rsidRDefault="000E13E2"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bCs/>
                <w:szCs w:val="20"/>
              </w:rPr>
            </w:pPr>
            <w:r w:rsidRPr="00EC2BCC">
              <w:rPr>
                <w:rFonts w:cs="Times New Roman"/>
                <w:szCs w:val="20"/>
              </w:rPr>
              <w:t>Aphantasic</w:t>
            </w:r>
          </w:p>
        </w:tc>
        <w:tc>
          <w:tcPr>
            <w:tcW w:w="851" w:type="dxa"/>
            <w:tcBorders>
              <w:top w:val="single" w:sz="4" w:space="0" w:color="auto"/>
            </w:tcBorders>
            <w:shd w:val="clear" w:color="auto" w:fill="auto"/>
            <w:vAlign w:val="center"/>
          </w:tcPr>
          <w:p w14:paraId="0B0BF8A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64</w:t>
            </w:r>
          </w:p>
        </w:tc>
        <w:tc>
          <w:tcPr>
            <w:tcW w:w="601" w:type="dxa"/>
            <w:tcBorders>
              <w:top w:val="single" w:sz="4" w:space="0" w:color="auto"/>
            </w:tcBorders>
            <w:shd w:val="clear" w:color="auto" w:fill="auto"/>
            <w:vAlign w:val="center"/>
          </w:tcPr>
          <w:p w14:paraId="654EE1A7"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3.74</w:t>
            </w:r>
          </w:p>
        </w:tc>
        <w:tc>
          <w:tcPr>
            <w:tcW w:w="519" w:type="dxa"/>
            <w:tcBorders>
              <w:top w:val="single" w:sz="4" w:space="0" w:color="auto"/>
            </w:tcBorders>
            <w:shd w:val="clear" w:color="auto" w:fill="auto"/>
            <w:vAlign w:val="center"/>
          </w:tcPr>
          <w:p w14:paraId="1E33AC58"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.36</w:t>
            </w:r>
          </w:p>
        </w:tc>
        <w:tc>
          <w:tcPr>
            <w:tcW w:w="577" w:type="dxa"/>
            <w:tcBorders>
              <w:top w:val="single" w:sz="4" w:space="0" w:color="auto"/>
            </w:tcBorders>
            <w:shd w:val="clear" w:color="auto" w:fill="auto"/>
            <w:vAlign w:val="center"/>
          </w:tcPr>
          <w:p w14:paraId="3F677C4B"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.05</w:t>
            </w:r>
          </w:p>
        </w:tc>
        <w:tc>
          <w:tcPr>
            <w:tcW w:w="756" w:type="dxa"/>
            <w:vMerge w:val="restart"/>
            <w:tcBorders>
              <w:top w:val="single" w:sz="4" w:space="0" w:color="auto"/>
            </w:tcBorders>
            <w:shd w:val="clear" w:color="auto" w:fill="auto"/>
            <w:vAlign w:val="center"/>
          </w:tcPr>
          <w:p w14:paraId="0018184D"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2.564</w:t>
            </w:r>
          </w:p>
        </w:tc>
        <w:tc>
          <w:tcPr>
            <w:tcW w:w="791" w:type="dxa"/>
            <w:vMerge w:val="restart"/>
            <w:tcBorders>
              <w:top w:val="single" w:sz="4" w:space="0" w:color="auto"/>
            </w:tcBorders>
            <w:shd w:val="clear" w:color="auto" w:fill="auto"/>
            <w:tcMar>
              <w:left w:w="28" w:type="dxa"/>
              <w:right w:w="28" w:type="dxa"/>
            </w:tcMar>
            <w:vAlign w:val="center"/>
          </w:tcPr>
          <w:p w14:paraId="3768E74A"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187.263</w:t>
            </w:r>
          </w:p>
        </w:tc>
        <w:tc>
          <w:tcPr>
            <w:tcW w:w="725" w:type="dxa"/>
            <w:vMerge w:val="restart"/>
            <w:tcBorders>
              <w:top w:val="single" w:sz="4" w:space="0" w:color="auto"/>
            </w:tcBorders>
            <w:shd w:val="clear" w:color="auto" w:fill="auto"/>
            <w:vAlign w:val="center"/>
          </w:tcPr>
          <w:p w14:paraId="4E7DC6E5" w14:textId="77777777" w:rsidR="000E13E2" w:rsidRPr="00EC2BCC" w:rsidRDefault="000E13E2"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.011*</w:t>
            </w:r>
          </w:p>
        </w:tc>
      </w:tr>
      <w:tr w:rsidR="000E13E2" w:rsidRPr="00EC2BCC" w14:paraId="53C63901" w14:textId="77777777" w:rsidTr="004E7C99">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843" w:type="dxa"/>
            <w:vMerge/>
            <w:tcBorders>
              <w:left w:val="none" w:sz="0" w:space="0" w:color="auto"/>
              <w:right w:val="none" w:sz="0" w:space="0" w:color="auto"/>
            </w:tcBorders>
            <w:shd w:val="clear" w:color="auto" w:fill="auto"/>
          </w:tcPr>
          <w:p w14:paraId="2F78D0FD" w14:textId="77777777" w:rsidR="000E13E2" w:rsidRPr="00EC2BCC" w:rsidRDefault="000E13E2" w:rsidP="004E7C99">
            <w:pPr>
              <w:spacing w:line="360" w:lineRule="auto"/>
              <w:rPr>
                <w:rFonts w:cs="Times New Roman"/>
                <w:szCs w:val="20"/>
              </w:rPr>
            </w:pPr>
          </w:p>
        </w:tc>
        <w:tc>
          <w:tcPr>
            <w:tcW w:w="1559" w:type="dxa"/>
            <w:tcBorders>
              <w:left w:val="none" w:sz="0" w:space="0" w:color="auto"/>
              <w:right w:val="none" w:sz="0" w:space="0" w:color="auto"/>
            </w:tcBorders>
            <w:shd w:val="clear" w:color="auto" w:fill="auto"/>
            <w:vAlign w:val="center"/>
          </w:tcPr>
          <w:p w14:paraId="48F63DF2" w14:textId="77777777" w:rsidR="000E13E2" w:rsidRPr="00EC2BCC" w:rsidRDefault="000E13E2" w:rsidP="004E7C99">
            <w:pPr>
              <w:spacing w:line="360" w:lineRule="auto"/>
              <w:cnfStyle w:val="000000100000" w:firstRow="0" w:lastRow="0" w:firstColumn="0" w:lastColumn="0" w:oddVBand="0" w:evenVBand="0" w:oddHBand="1" w:evenHBand="0" w:firstRowFirstColumn="0" w:firstRowLastColumn="0" w:lastRowFirstColumn="0" w:lastRowLastColumn="0"/>
              <w:rPr>
                <w:rFonts w:cs="Times New Roman"/>
                <w:bCs/>
                <w:szCs w:val="20"/>
              </w:rPr>
            </w:pPr>
            <w:r w:rsidRPr="00EC2BCC">
              <w:rPr>
                <w:rFonts w:cs="Times New Roman"/>
                <w:bCs/>
                <w:szCs w:val="20"/>
                <w:lang w:val="en"/>
              </w:rPr>
              <w:t xml:space="preserve">Not </w:t>
            </w:r>
            <w:r w:rsidRPr="00EC2BCC">
              <w:rPr>
                <w:rFonts w:cs="Times New Roman"/>
                <w:szCs w:val="20"/>
              </w:rPr>
              <w:t>Aphantasic</w:t>
            </w:r>
          </w:p>
        </w:tc>
        <w:tc>
          <w:tcPr>
            <w:tcW w:w="851" w:type="dxa"/>
            <w:tcBorders>
              <w:left w:val="none" w:sz="0" w:space="0" w:color="auto"/>
              <w:right w:val="none" w:sz="0" w:space="0" w:color="auto"/>
            </w:tcBorders>
            <w:shd w:val="clear" w:color="auto" w:fill="auto"/>
            <w:vAlign w:val="center"/>
          </w:tcPr>
          <w:p w14:paraId="29B3440F"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196</w:t>
            </w:r>
          </w:p>
        </w:tc>
        <w:tc>
          <w:tcPr>
            <w:tcW w:w="601" w:type="dxa"/>
            <w:tcBorders>
              <w:left w:val="none" w:sz="0" w:space="0" w:color="auto"/>
              <w:right w:val="none" w:sz="0" w:space="0" w:color="auto"/>
            </w:tcBorders>
            <w:shd w:val="clear" w:color="auto" w:fill="auto"/>
            <w:vAlign w:val="center"/>
          </w:tcPr>
          <w:p w14:paraId="5D46B070"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3.58</w:t>
            </w:r>
          </w:p>
        </w:tc>
        <w:tc>
          <w:tcPr>
            <w:tcW w:w="519" w:type="dxa"/>
            <w:tcBorders>
              <w:left w:val="none" w:sz="0" w:space="0" w:color="auto"/>
              <w:right w:val="none" w:sz="0" w:space="0" w:color="auto"/>
            </w:tcBorders>
            <w:shd w:val="clear" w:color="auto" w:fill="auto"/>
            <w:vAlign w:val="center"/>
          </w:tcPr>
          <w:p w14:paraId="7BEBB357"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.63</w:t>
            </w:r>
          </w:p>
        </w:tc>
        <w:tc>
          <w:tcPr>
            <w:tcW w:w="577" w:type="dxa"/>
            <w:tcBorders>
              <w:left w:val="none" w:sz="0" w:space="0" w:color="auto"/>
              <w:right w:val="none" w:sz="0" w:space="0" w:color="auto"/>
            </w:tcBorders>
            <w:shd w:val="clear" w:color="auto" w:fill="auto"/>
            <w:vAlign w:val="center"/>
          </w:tcPr>
          <w:p w14:paraId="1C4C1E13"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.04</w:t>
            </w:r>
          </w:p>
        </w:tc>
        <w:tc>
          <w:tcPr>
            <w:tcW w:w="756" w:type="dxa"/>
            <w:vMerge/>
            <w:tcBorders>
              <w:left w:val="none" w:sz="0" w:space="0" w:color="auto"/>
              <w:right w:val="none" w:sz="0" w:space="0" w:color="auto"/>
            </w:tcBorders>
            <w:shd w:val="clear" w:color="auto" w:fill="auto"/>
            <w:vAlign w:val="center"/>
          </w:tcPr>
          <w:p w14:paraId="2F2A6FFB"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91" w:type="dxa"/>
            <w:vMerge/>
            <w:tcBorders>
              <w:left w:val="none" w:sz="0" w:space="0" w:color="auto"/>
              <w:right w:val="none" w:sz="0" w:space="0" w:color="auto"/>
            </w:tcBorders>
            <w:shd w:val="clear" w:color="auto" w:fill="auto"/>
            <w:vAlign w:val="center"/>
          </w:tcPr>
          <w:p w14:paraId="0A16C90D"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25" w:type="dxa"/>
            <w:vMerge/>
            <w:tcBorders>
              <w:left w:val="none" w:sz="0" w:space="0" w:color="auto"/>
              <w:right w:val="none" w:sz="0" w:space="0" w:color="auto"/>
            </w:tcBorders>
            <w:shd w:val="clear" w:color="auto" w:fill="auto"/>
            <w:vAlign w:val="center"/>
          </w:tcPr>
          <w:p w14:paraId="272BBB89" w14:textId="77777777" w:rsidR="000E13E2" w:rsidRPr="00EC2BCC" w:rsidRDefault="000E13E2"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r>
    </w:tbl>
    <w:p w14:paraId="3A3336D4" w14:textId="77777777" w:rsidR="000E13E2" w:rsidRPr="00EC2BCC" w:rsidRDefault="000E13E2" w:rsidP="000E13E2">
      <w:pPr>
        <w:spacing w:line="360" w:lineRule="auto"/>
        <w:rPr>
          <w:rFonts w:cs="Times New Roman"/>
          <w:szCs w:val="20"/>
        </w:rPr>
      </w:pPr>
      <w:r w:rsidRPr="00EC2BCC">
        <w:rPr>
          <w:rFonts w:cs="Times New Roman"/>
          <w:szCs w:val="20"/>
          <w:lang w:val="en"/>
        </w:rPr>
        <w:t>* Significant at .05 level</w:t>
      </w:r>
    </w:p>
    <w:p w14:paraId="2E4ED744" w14:textId="77777777" w:rsidR="0060578E" w:rsidRPr="00EC2BCC" w:rsidRDefault="0060578E" w:rsidP="0060578E">
      <w:pPr>
        <w:pStyle w:val="NormalWeb"/>
        <w:spacing w:line="360" w:lineRule="auto"/>
        <w:jc w:val="both"/>
        <w:rPr>
          <w:sz w:val="20"/>
          <w:szCs w:val="20"/>
        </w:rPr>
      </w:pPr>
      <w:r w:rsidRPr="00EC2BCC">
        <w:rPr>
          <w:sz w:val="20"/>
          <w:szCs w:val="20"/>
          <w:lang w:val="en"/>
        </w:rPr>
        <w:t xml:space="preserve">As seen from the Table 8, according to outcomes obtained from the t-test for independent samples done to clarify of VI vitality variable on learning styles, the scores of the participants regarding the learning orientations they received from the scale differed statistically significantly according to the level of vitality of the VI (p = .001). Scores for other sub-dimensions on the learning styles scale are not affected by the level of vividness of the visual image. </w:t>
      </w:r>
    </w:p>
    <w:p w14:paraId="21A51835" w14:textId="77777777" w:rsidR="0060578E" w:rsidRDefault="0060578E" w:rsidP="0060578E">
      <w:pPr>
        <w:pStyle w:val="NormalWeb"/>
        <w:spacing w:before="0" w:beforeAutospacing="0" w:after="120" w:afterAutospacing="0" w:line="360" w:lineRule="auto"/>
        <w:jc w:val="both"/>
        <w:rPr>
          <w:sz w:val="20"/>
          <w:szCs w:val="20"/>
          <w:lang w:val="en"/>
        </w:rPr>
      </w:pPr>
      <w:r w:rsidRPr="0060578E">
        <w:rPr>
          <w:bCs/>
          <w:sz w:val="20"/>
          <w:szCs w:val="20"/>
          <w:lang w:val="en"/>
        </w:rPr>
        <w:t>Table 9.</w:t>
      </w:r>
      <w:r w:rsidRPr="00EC2BCC">
        <w:rPr>
          <w:sz w:val="20"/>
          <w:szCs w:val="20"/>
          <w:lang w:val="en"/>
        </w:rPr>
        <w:t xml:space="preserve">  T-test results for independent samples to determine effect of Vitality Variable of VI on undergraduate achievement grade.</w:t>
      </w:r>
    </w:p>
    <w:tbl>
      <w:tblPr>
        <w:tblStyle w:val="AkGlgeleme1"/>
        <w:tblW w:w="8127" w:type="dxa"/>
        <w:tblLayout w:type="fixed"/>
        <w:tblLook w:val="04A0" w:firstRow="1" w:lastRow="0" w:firstColumn="1" w:lastColumn="0" w:noHBand="0" w:noVBand="1"/>
      </w:tblPr>
      <w:tblGrid>
        <w:gridCol w:w="1701"/>
        <w:gridCol w:w="1156"/>
        <w:gridCol w:w="404"/>
        <w:gridCol w:w="567"/>
        <w:gridCol w:w="708"/>
        <w:gridCol w:w="667"/>
        <w:gridCol w:w="782"/>
        <w:gridCol w:w="758"/>
        <w:gridCol w:w="628"/>
        <w:gridCol w:w="756"/>
      </w:tblGrid>
      <w:tr w:rsidR="0060578E" w:rsidRPr="00EC2BCC" w14:paraId="66208555" w14:textId="77777777" w:rsidTr="004E7C9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auto"/>
          </w:tcPr>
          <w:p w14:paraId="183AF48E" w14:textId="77777777" w:rsidR="0060578E" w:rsidRPr="00EC2BCC" w:rsidRDefault="0060578E" w:rsidP="004E7C99">
            <w:pPr>
              <w:spacing w:line="360" w:lineRule="auto"/>
              <w:jc w:val="center"/>
              <w:rPr>
                <w:rFonts w:cs="Times New Roman"/>
                <w:szCs w:val="20"/>
              </w:rPr>
            </w:pPr>
          </w:p>
        </w:tc>
        <w:tc>
          <w:tcPr>
            <w:tcW w:w="1156" w:type="dxa"/>
            <w:vMerge w:val="restart"/>
            <w:shd w:val="clear" w:color="auto" w:fill="auto"/>
            <w:vAlign w:val="center"/>
          </w:tcPr>
          <w:p w14:paraId="28C49A7D" w14:textId="77777777" w:rsidR="0060578E" w:rsidRPr="00EC2BCC" w:rsidRDefault="0060578E"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Cs w:val="20"/>
              </w:rPr>
            </w:pPr>
            <w:r w:rsidRPr="00EC2BCC">
              <w:rPr>
                <w:rFonts w:cs="Times New Roman"/>
                <w:bCs w:val="0"/>
                <w:szCs w:val="20"/>
                <w:lang w:val="en"/>
              </w:rPr>
              <w:t>Groups</w:t>
            </w:r>
          </w:p>
        </w:tc>
        <w:tc>
          <w:tcPr>
            <w:tcW w:w="971" w:type="dxa"/>
            <w:gridSpan w:val="2"/>
            <w:vMerge w:val="restart"/>
            <w:shd w:val="clear" w:color="auto" w:fill="auto"/>
            <w:vAlign w:val="center"/>
          </w:tcPr>
          <w:p w14:paraId="19677463" w14:textId="77777777" w:rsidR="0060578E" w:rsidRPr="00EC2BCC" w:rsidRDefault="0060578E"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rPr>
            </w:pPr>
            <w:r w:rsidRPr="00EC2BCC">
              <w:rPr>
                <w:rFonts w:cs="Times New Roman"/>
                <w:bCs w:val="0"/>
                <w:color w:val="000000"/>
                <w:szCs w:val="20"/>
                <w:lang w:val="en"/>
              </w:rPr>
              <w:t xml:space="preserve">      N</w:t>
            </w:r>
          </w:p>
        </w:tc>
        <w:tc>
          <w:tcPr>
            <w:tcW w:w="708" w:type="dxa"/>
            <w:vMerge w:val="restart"/>
            <w:shd w:val="clear" w:color="auto" w:fill="auto"/>
            <w:vAlign w:val="center"/>
          </w:tcPr>
          <w:p w14:paraId="30E8CC80" w14:textId="77777777" w:rsidR="0060578E" w:rsidRPr="00EC2BCC" w:rsidRDefault="0060578E"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0"/>
              </w:rPr>
            </w:pPr>
            <m:oMathPara>
              <m:oMath>
                <m:acc>
                  <m:accPr>
                    <m:chr m:val="̅"/>
                    <m:ctrlPr>
                      <w:rPr>
                        <w:rFonts w:ascii="Cambria Math" w:hAnsi="Cambria Math" w:cs="Times New Roman"/>
                        <w:b w:val="0"/>
                        <w:bCs w:val="0"/>
                        <w:color w:val="000000"/>
                        <w:szCs w:val="20"/>
                      </w:rPr>
                    </m:ctrlPr>
                  </m:accPr>
                  <m:e>
                    <m:r>
                      <m:rPr>
                        <m:sty m:val="b"/>
                      </m:rPr>
                      <w:rPr>
                        <w:rFonts w:ascii="Cambria Math" w:hAnsi="Cambria Math" w:cs="Times New Roman"/>
                        <w:color w:val="000000"/>
                        <w:szCs w:val="20"/>
                      </w:rPr>
                      <m:t>X</m:t>
                    </m:r>
                  </m:e>
                </m:acc>
              </m:oMath>
            </m:oMathPara>
          </w:p>
        </w:tc>
        <w:tc>
          <w:tcPr>
            <w:tcW w:w="667" w:type="dxa"/>
            <w:vMerge w:val="restart"/>
            <w:shd w:val="clear" w:color="auto" w:fill="auto"/>
            <w:vAlign w:val="center"/>
          </w:tcPr>
          <w:p w14:paraId="6DFA141D" w14:textId="77777777" w:rsidR="0060578E" w:rsidRPr="00EC2BCC" w:rsidRDefault="0060578E"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rPr>
            </w:pPr>
            <w:r w:rsidRPr="00EC2BCC">
              <w:rPr>
                <w:rFonts w:cs="Times New Roman"/>
                <w:bCs w:val="0"/>
                <w:color w:val="000000"/>
                <w:szCs w:val="20"/>
                <w:lang w:val="en"/>
              </w:rPr>
              <w:t>Ss</w:t>
            </w:r>
          </w:p>
        </w:tc>
        <w:tc>
          <w:tcPr>
            <w:tcW w:w="782" w:type="dxa"/>
            <w:vMerge w:val="restart"/>
            <w:shd w:val="clear" w:color="auto" w:fill="auto"/>
            <w:vAlign w:val="center"/>
          </w:tcPr>
          <w:p w14:paraId="2DE29B47" w14:textId="77777777" w:rsidR="0060578E" w:rsidRPr="00EC2BCC" w:rsidRDefault="0060578E"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Cs w:val="20"/>
              </w:rPr>
            </w:pPr>
            <m:oMathPara>
              <m:oMath>
                <m:sSub>
                  <m:sSubPr>
                    <m:ctrlPr>
                      <w:rPr>
                        <w:rFonts w:ascii="Cambria Math" w:hAnsi="Cambria Math" w:cs="Times New Roman"/>
                        <w:b w:val="0"/>
                        <w:bCs w:val="0"/>
                        <w:color w:val="000000"/>
                        <w:szCs w:val="20"/>
                      </w:rPr>
                    </m:ctrlPr>
                  </m:sSubPr>
                  <m:e>
                    <m:r>
                      <m:rPr>
                        <m:sty m:val="b"/>
                      </m:rPr>
                      <w:rPr>
                        <w:rFonts w:ascii="Cambria Math" w:hAnsi="Cambria Math" w:cs="Times New Roman"/>
                        <w:color w:val="000000"/>
                        <w:szCs w:val="20"/>
                      </w:rPr>
                      <m:t>Sh</m:t>
                    </m:r>
                  </m:e>
                  <m:sub>
                    <m:acc>
                      <m:accPr>
                        <m:chr m:val="̅"/>
                        <m:ctrlPr>
                          <w:rPr>
                            <w:rFonts w:ascii="Cambria Math" w:hAnsi="Cambria Math" w:cs="Times New Roman"/>
                            <w:b w:val="0"/>
                            <w:bCs w:val="0"/>
                            <w:color w:val="000000"/>
                            <w:szCs w:val="20"/>
                          </w:rPr>
                        </m:ctrlPr>
                      </m:accPr>
                      <m:e>
                        <m:r>
                          <m:rPr>
                            <m:sty m:val="b"/>
                          </m:rPr>
                          <w:rPr>
                            <w:rFonts w:ascii="Cambria Math" w:hAnsi="Cambria Math" w:cs="Times New Roman"/>
                            <w:color w:val="000000"/>
                            <w:szCs w:val="20"/>
                          </w:rPr>
                          <m:t>X</m:t>
                        </m:r>
                      </m:e>
                    </m:acc>
                  </m:sub>
                </m:sSub>
              </m:oMath>
            </m:oMathPara>
          </w:p>
        </w:tc>
        <w:tc>
          <w:tcPr>
            <w:tcW w:w="2142" w:type="dxa"/>
            <w:gridSpan w:val="3"/>
            <w:shd w:val="clear" w:color="auto" w:fill="auto"/>
          </w:tcPr>
          <w:p w14:paraId="696BC2E4" w14:textId="77777777" w:rsidR="0060578E" w:rsidRPr="00EC2BCC" w:rsidRDefault="0060578E" w:rsidP="004E7C9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rPr>
            </w:pPr>
            <w:r w:rsidRPr="00EC2BCC">
              <w:rPr>
                <w:rFonts w:cs="Times New Roman"/>
                <w:bCs w:val="0"/>
                <w:color w:val="000000"/>
                <w:szCs w:val="20"/>
                <w:lang w:val="en"/>
              </w:rPr>
              <w:t>t Test</w:t>
            </w:r>
          </w:p>
        </w:tc>
      </w:tr>
      <w:tr w:rsidR="0060578E" w:rsidRPr="00EC2BCC" w14:paraId="2B958185" w14:textId="77777777" w:rsidTr="004E7C9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701" w:type="dxa"/>
            <w:vMerge/>
            <w:tcBorders>
              <w:bottom w:val="single" w:sz="4" w:space="0" w:color="auto"/>
            </w:tcBorders>
            <w:shd w:val="clear" w:color="auto" w:fill="auto"/>
          </w:tcPr>
          <w:p w14:paraId="08A80C49" w14:textId="77777777" w:rsidR="0060578E" w:rsidRPr="00EC2BCC" w:rsidRDefault="0060578E" w:rsidP="004E7C99">
            <w:pPr>
              <w:spacing w:line="360" w:lineRule="auto"/>
              <w:jc w:val="center"/>
              <w:rPr>
                <w:rFonts w:cs="Times New Roman"/>
                <w:b w:val="0"/>
                <w:bCs w:val="0"/>
                <w:szCs w:val="20"/>
              </w:rPr>
            </w:pPr>
          </w:p>
        </w:tc>
        <w:tc>
          <w:tcPr>
            <w:tcW w:w="1156" w:type="dxa"/>
            <w:vMerge/>
            <w:tcBorders>
              <w:bottom w:val="single" w:sz="4" w:space="0" w:color="auto"/>
            </w:tcBorders>
            <w:shd w:val="clear" w:color="auto" w:fill="auto"/>
          </w:tcPr>
          <w:p w14:paraId="31EC1068"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bCs/>
                <w:szCs w:val="20"/>
              </w:rPr>
            </w:pPr>
          </w:p>
        </w:tc>
        <w:tc>
          <w:tcPr>
            <w:tcW w:w="971" w:type="dxa"/>
            <w:gridSpan w:val="2"/>
            <w:vMerge/>
            <w:tcBorders>
              <w:bottom w:val="single" w:sz="4" w:space="0" w:color="auto"/>
            </w:tcBorders>
            <w:shd w:val="clear" w:color="auto" w:fill="auto"/>
          </w:tcPr>
          <w:p w14:paraId="483E2EFC"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08" w:type="dxa"/>
            <w:vMerge/>
            <w:tcBorders>
              <w:bottom w:val="single" w:sz="4" w:space="0" w:color="auto"/>
            </w:tcBorders>
            <w:shd w:val="clear" w:color="auto" w:fill="auto"/>
          </w:tcPr>
          <w:p w14:paraId="149D6526"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667" w:type="dxa"/>
            <w:vMerge/>
            <w:tcBorders>
              <w:bottom w:val="single" w:sz="4" w:space="0" w:color="auto"/>
            </w:tcBorders>
            <w:shd w:val="clear" w:color="auto" w:fill="auto"/>
          </w:tcPr>
          <w:p w14:paraId="753E0FFC"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82" w:type="dxa"/>
            <w:vMerge/>
            <w:tcBorders>
              <w:bottom w:val="single" w:sz="4" w:space="0" w:color="auto"/>
            </w:tcBorders>
            <w:shd w:val="clear" w:color="auto" w:fill="auto"/>
          </w:tcPr>
          <w:p w14:paraId="68F824B0"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58" w:type="dxa"/>
            <w:tcBorders>
              <w:bottom w:val="single" w:sz="4" w:space="0" w:color="auto"/>
            </w:tcBorders>
            <w:shd w:val="clear" w:color="auto" w:fill="auto"/>
            <w:vAlign w:val="center"/>
          </w:tcPr>
          <w:p w14:paraId="12A47498"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rPr>
            </w:pPr>
            <w:r w:rsidRPr="00EC2BCC">
              <w:rPr>
                <w:rFonts w:cs="Times New Roman"/>
                <w:b/>
                <w:color w:val="000000"/>
                <w:szCs w:val="20"/>
                <w:lang w:val="en"/>
              </w:rPr>
              <w:t>t</w:t>
            </w:r>
          </w:p>
        </w:tc>
        <w:tc>
          <w:tcPr>
            <w:tcW w:w="628" w:type="dxa"/>
            <w:tcBorders>
              <w:bottom w:val="single" w:sz="4" w:space="0" w:color="auto"/>
            </w:tcBorders>
            <w:shd w:val="clear" w:color="auto" w:fill="auto"/>
            <w:vAlign w:val="center"/>
          </w:tcPr>
          <w:p w14:paraId="4A1999F9"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rPr>
            </w:pPr>
            <w:r w:rsidRPr="00EC2BCC">
              <w:rPr>
                <w:rFonts w:cs="Times New Roman"/>
                <w:b/>
                <w:color w:val="000000"/>
                <w:szCs w:val="20"/>
                <w:lang w:val="en"/>
              </w:rPr>
              <w:t>Sd</w:t>
            </w:r>
          </w:p>
        </w:tc>
        <w:tc>
          <w:tcPr>
            <w:tcW w:w="756" w:type="dxa"/>
            <w:tcBorders>
              <w:bottom w:val="single" w:sz="4" w:space="0" w:color="auto"/>
            </w:tcBorders>
            <w:shd w:val="clear" w:color="auto" w:fill="auto"/>
            <w:vAlign w:val="center"/>
          </w:tcPr>
          <w:p w14:paraId="5334CC7C"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rPr>
            </w:pPr>
            <w:r w:rsidRPr="00EC2BCC">
              <w:rPr>
                <w:rFonts w:cs="Times New Roman"/>
                <w:b/>
                <w:color w:val="000000"/>
                <w:szCs w:val="20"/>
                <w:lang w:val="en"/>
              </w:rPr>
              <w:t>p</w:t>
            </w:r>
          </w:p>
        </w:tc>
      </w:tr>
      <w:tr w:rsidR="0060578E" w:rsidRPr="00EC2BCC" w14:paraId="4784452D" w14:textId="77777777" w:rsidTr="004E7C99">
        <w:trPr>
          <w:trHeight w:val="457"/>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auto"/>
              <w:bottom w:val="nil"/>
            </w:tcBorders>
            <w:shd w:val="clear" w:color="auto" w:fill="auto"/>
            <w:vAlign w:val="center"/>
          </w:tcPr>
          <w:p w14:paraId="2196A84E" w14:textId="77777777" w:rsidR="0060578E" w:rsidRPr="00EC2BCC" w:rsidRDefault="0060578E" w:rsidP="004E7C99">
            <w:pPr>
              <w:spacing w:line="360" w:lineRule="auto"/>
              <w:rPr>
                <w:rFonts w:cs="Times New Roman"/>
                <w:bCs w:val="0"/>
                <w:color w:val="000000"/>
                <w:szCs w:val="20"/>
              </w:rPr>
            </w:pPr>
            <w:r w:rsidRPr="00EC2BCC">
              <w:rPr>
                <w:rFonts w:cs="Times New Roman"/>
                <w:b w:val="0"/>
                <w:bCs w:val="0"/>
                <w:color w:val="000000"/>
                <w:szCs w:val="20"/>
                <w:lang w:val="en" w:eastAsia="en-GB"/>
              </w:rPr>
              <w:t>Undergraduate passing grade</w:t>
            </w:r>
          </w:p>
        </w:tc>
        <w:tc>
          <w:tcPr>
            <w:tcW w:w="1560" w:type="dxa"/>
            <w:gridSpan w:val="2"/>
            <w:tcBorders>
              <w:top w:val="single" w:sz="4" w:space="0" w:color="auto"/>
              <w:bottom w:val="single" w:sz="4" w:space="0" w:color="auto"/>
            </w:tcBorders>
            <w:shd w:val="clear" w:color="auto" w:fill="auto"/>
            <w:vAlign w:val="center"/>
          </w:tcPr>
          <w:p w14:paraId="2BC37BC6" w14:textId="77777777" w:rsidR="0060578E" w:rsidRPr="00EC2BCC" w:rsidRDefault="0060578E"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bCs/>
                <w:szCs w:val="20"/>
              </w:rPr>
            </w:pPr>
            <w:r w:rsidRPr="00EC2BCC">
              <w:rPr>
                <w:rFonts w:cs="Times New Roman"/>
                <w:szCs w:val="20"/>
              </w:rPr>
              <w:t>Aphantasic</w:t>
            </w:r>
          </w:p>
        </w:tc>
        <w:tc>
          <w:tcPr>
            <w:tcW w:w="567" w:type="dxa"/>
            <w:tcBorders>
              <w:top w:val="single" w:sz="4" w:space="0" w:color="auto"/>
              <w:bottom w:val="single" w:sz="4" w:space="0" w:color="auto"/>
            </w:tcBorders>
            <w:shd w:val="clear" w:color="auto" w:fill="auto"/>
            <w:vAlign w:val="center"/>
          </w:tcPr>
          <w:p w14:paraId="057020B1"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64</w:t>
            </w:r>
          </w:p>
        </w:tc>
        <w:tc>
          <w:tcPr>
            <w:tcW w:w="708" w:type="dxa"/>
            <w:tcBorders>
              <w:top w:val="single" w:sz="4" w:space="0" w:color="auto"/>
              <w:bottom w:val="single" w:sz="4" w:space="0" w:color="auto"/>
            </w:tcBorders>
            <w:shd w:val="clear" w:color="auto" w:fill="auto"/>
            <w:vAlign w:val="center"/>
          </w:tcPr>
          <w:p w14:paraId="39A2DDE6"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3.14</w:t>
            </w:r>
          </w:p>
        </w:tc>
        <w:tc>
          <w:tcPr>
            <w:tcW w:w="667" w:type="dxa"/>
            <w:tcBorders>
              <w:top w:val="single" w:sz="4" w:space="0" w:color="auto"/>
              <w:bottom w:val="single" w:sz="4" w:space="0" w:color="auto"/>
            </w:tcBorders>
            <w:shd w:val="clear" w:color="auto" w:fill="auto"/>
            <w:vAlign w:val="center"/>
          </w:tcPr>
          <w:p w14:paraId="382791DA"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0.45</w:t>
            </w:r>
          </w:p>
        </w:tc>
        <w:tc>
          <w:tcPr>
            <w:tcW w:w="782" w:type="dxa"/>
            <w:tcBorders>
              <w:top w:val="single" w:sz="4" w:space="0" w:color="auto"/>
              <w:bottom w:val="single" w:sz="4" w:space="0" w:color="auto"/>
            </w:tcBorders>
            <w:shd w:val="clear" w:color="auto" w:fill="auto"/>
            <w:vAlign w:val="center"/>
          </w:tcPr>
          <w:p w14:paraId="6113351B"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0.06</w:t>
            </w:r>
          </w:p>
        </w:tc>
        <w:tc>
          <w:tcPr>
            <w:tcW w:w="758" w:type="dxa"/>
            <w:vMerge w:val="restart"/>
            <w:tcBorders>
              <w:top w:val="single" w:sz="4" w:space="0" w:color="auto"/>
              <w:bottom w:val="nil"/>
            </w:tcBorders>
            <w:shd w:val="clear" w:color="auto" w:fill="auto"/>
            <w:vAlign w:val="center"/>
          </w:tcPr>
          <w:p w14:paraId="38E92FA4"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2.41</w:t>
            </w:r>
          </w:p>
        </w:tc>
        <w:tc>
          <w:tcPr>
            <w:tcW w:w="628" w:type="dxa"/>
            <w:vMerge w:val="restart"/>
            <w:tcBorders>
              <w:top w:val="single" w:sz="4" w:space="0" w:color="auto"/>
              <w:bottom w:val="nil"/>
            </w:tcBorders>
            <w:shd w:val="clear" w:color="auto" w:fill="auto"/>
            <w:vAlign w:val="center"/>
          </w:tcPr>
          <w:p w14:paraId="64D57075"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255</w:t>
            </w:r>
          </w:p>
        </w:tc>
        <w:tc>
          <w:tcPr>
            <w:tcW w:w="756" w:type="dxa"/>
            <w:vMerge w:val="restart"/>
            <w:tcBorders>
              <w:top w:val="single" w:sz="4" w:space="0" w:color="auto"/>
              <w:bottom w:val="nil"/>
            </w:tcBorders>
            <w:shd w:val="clear" w:color="auto" w:fill="auto"/>
            <w:vAlign w:val="center"/>
          </w:tcPr>
          <w:p w14:paraId="6B481616"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rPr>
            </w:pPr>
            <w:r w:rsidRPr="00EC2BCC">
              <w:rPr>
                <w:rFonts w:cs="Times New Roman"/>
                <w:color w:val="000000"/>
                <w:szCs w:val="20"/>
                <w:lang w:val="en"/>
              </w:rPr>
              <w:t>.016*</w:t>
            </w:r>
          </w:p>
        </w:tc>
      </w:tr>
      <w:tr w:rsidR="0060578E" w:rsidRPr="00EC2BCC" w14:paraId="4D92EF65" w14:textId="77777777" w:rsidTr="004E7C9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701" w:type="dxa"/>
            <w:vMerge/>
            <w:tcBorders>
              <w:top w:val="nil"/>
            </w:tcBorders>
            <w:shd w:val="clear" w:color="auto" w:fill="auto"/>
          </w:tcPr>
          <w:p w14:paraId="385E9A80" w14:textId="77777777" w:rsidR="0060578E" w:rsidRPr="00EC2BCC" w:rsidRDefault="0060578E" w:rsidP="004E7C99">
            <w:pPr>
              <w:spacing w:line="360" w:lineRule="auto"/>
              <w:rPr>
                <w:rFonts w:cs="Times New Roman"/>
                <w:szCs w:val="20"/>
              </w:rPr>
            </w:pPr>
          </w:p>
        </w:tc>
        <w:tc>
          <w:tcPr>
            <w:tcW w:w="1560" w:type="dxa"/>
            <w:gridSpan w:val="2"/>
            <w:tcBorders>
              <w:top w:val="single" w:sz="4" w:space="0" w:color="auto"/>
              <w:bottom w:val="single" w:sz="4" w:space="0" w:color="auto"/>
            </w:tcBorders>
            <w:shd w:val="clear" w:color="auto" w:fill="auto"/>
            <w:vAlign w:val="center"/>
          </w:tcPr>
          <w:p w14:paraId="205A0176" w14:textId="77777777" w:rsidR="0060578E" w:rsidRPr="00EC2BCC" w:rsidRDefault="0060578E" w:rsidP="004E7C99">
            <w:pPr>
              <w:spacing w:line="360" w:lineRule="auto"/>
              <w:cnfStyle w:val="000000100000" w:firstRow="0" w:lastRow="0" w:firstColumn="0" w:lastColumn="0" w:oddVBand="0" w:evenVBand="0" w:oddHBand="1" w:evenHBand="0" w:firstRowFirstColumn="0" w:firstRowLastColumn="0" w:lastRowFirstColumn="0" w:lastRowLastColumn="0"/>
              <w:rPr>
                <w:rFonts w:cs="Times New Roman"/>
                <w:bCs/>
                <w:szCs w:val="20"/>
              </w:rPr>
            </w:pPr>
            <w:r w:rsidRPr="00EC2BCC">
              <w:rPr>
                <w:rFonts w:cs="Times New Roman"/>
                <w:bCs/>
                <w:szCs w:val="20"/>
                <w:lang w:val="en"/>
              </w:rPr>
              <w:t xml:space="preserve">Not </w:t>
            </w:r>
            <w:r w:rsidRPr="00EC2BCC">
              <w:rPr>
                <w:rFonts w:cs="Times New Roman"/>
                <w:szCs w:val="20"/>
              </w:rPr>
              <w:t>aphantasic</w:t>
            </w:r>
          </w:p>
        </w:tc>
        <w:tc>
          <w:tcPr>
            <w:tcW w:w="567" w:type="dxa"/>
            <w:tcBorders>
              <w:top w:val="single" w:sz="4" w:space="0" w:color="auto"/>
              <w:bottom w:val="single" w:sz="4" w:space="0" w:color="auto"/>
            </w:tcBorders>
            <w:shd w:val="clear" w:color="auto" w:fill="auto"/>
            <w:vAlign w:val="center"/>
          </w:tcPr>
          <w:p w14:paraId="37F6C0FE"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196</w:t>
            </w:r>
          </w:p>
        </w:tc>
        <w:tc>
          <w:tcPr>
            <w:tcW w:w="708" w:type="dxa"/>
            <w:tcBorders>
              <w:top w:val="single" w:sz="4" w:space="0" w:color="auto"/>
              <w:bottom w:val="single" w:sz="4" w:space="0" w:color="auto"/>
            </w:tcBorders>
            <w:shd w:val="clear" w:color="auto" w:fill="auto"/>
            <w:vAlign w:val="center"/>
          </w:tcPr>
          <w:p w14:paraId="1056A1CC"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2.97</w:t>
            </w:r>
          </w:p>
        </w:tc>
        <w:tc>
          <w:tcPr>
            <w:tcW w:w="667" w:type="dxa"/>
            <w:tcBorders>
              <w:top w:val="single" w:sz="4" w:space="0" w:color="auto"/>
              <w:bottom w:val="single" w:sz="4" w:space="0" w:color="auto"/>
            </w:tcBorders>
            <w:shd w:val="clear" w:color="auto" w:fill="auto"/>
            <w:vAlign w:val="center"/>
          </w:tcPr>
          <w:p w14:paraId="6689DA8F"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0.50</w:t>
            </w:r>
          </w:p>
        </w:tc>
        <w:tc>
          <w:tcPr>
            <w:tcW w:w="782" w:type="dxa"/>
            <w:tcBorders>
              <w:top w:val="single" w:sz="4" w:space="0" w:color="auto"/>
              <w:bottom w:val="single" w:sz="4" w:space="0" w:color="auto"/>
            </w:tcBorders>
            <w:shd w:val="clear" w:color="auto" w:fill="auto"/>
            <w:vAlign w:val="center"/>
          </w:tcPr>
          <w:p w14:paraId="51929CC7"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r w:rsidRPr="00EC2BCC">
              <w:rPr>
                <w:rFonts w:cs="Times New Roman"/>
                <w:color w:val="000000"/>
                <w:szCs w:val="20"/>
                <w:lang w:val="en"/>
              </w:rPr>
              <w:t>0.04</w:t>
            </w:r>
          </w:p>
        </w:tc>
        <w:tc>
          <w:tcPr>
            <w:tcW w:w="758" w:type="dxa"/>
            <w:vMerge/>
            <w:tcBorders>
              <w:top w:val="nil"/>
            </w:tcBorders>
            <w:shd w:val="clear" w:color="auto" w:fill="auto"/>
            <w:vAlign w:val="center"/>
          </w:tcPr>
          <w:p w14:paraId="00956FAA"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628" w:type="dxa"/>
            <w:vMerge/>
            <w:tcBorders>
              <w:top w:val="nil"/>
            </w:tcBorders>
            <w:shd w:val="clear" w:color="auto" w:fill="auto"/>
            <w:vAlign w:val="center"/>
          </w:tcPr>
          <w:p w14:paraId="7FE97969"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c>
          <w:tcPr>
            <w:tcW w:w="756" w:type="dxa"/>
            <w:vMerge/>
            <w:tcBorders>
              <w:top w:val="nil"/>
            </w:tcBorders>
            <w:shd w:val="clear" w:color="auto" w:fill="auto"/>
            <w:vAlign w:val="center"/>
          </w:tcPr>
          <w:p w14:paraId="3AE3BB3D"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rPr>
            </w:pPr>
          </w:p>
        </w:tc>
      </w:tr>
    </w:tbl>
    <w:p w14:paraId="3B05D23D" w14:textId="2527EF61" w:rsidR="0060578E" w:rsidRDefault="0060578E" w:rsidP="0060578E">
      <w:pPr>
        <w:spacing w:line="360" w:lineRule="auto"/>
        <w:rPr>
          <w:rFonts w:cs="Times New Roman"/>
          <w:szCs w:val="20"/>
          <w:lang w:val="en"/>
        </w:rPr>
      </w:pPr>
      <w:r w:rsidRPr="00EC2BCC">
        <w:rPr>
          <w:rFonts w:cs="Times New Roman"/>
          <w:szCs w:val="20"/>
          <w:lang w:val="en"/>
        </w:rPr>
        <w:t>* Significant at .05 level</w:t>
      </w:r>
    </w:p>
    <w:p w14:paraId="3791AD53" w14:textId="77777777" w:rsidR="0060578E" w:rsidRPr="00EC2BCC" w:rsidRDefault="0060578E" w:rsidP="0060578E">
      <w:pPr>
        <w:pStyle w:val="NormalWeb"/>
        <w:spacing w:line="360" w:lineRule="auto"/>
        <w:jc w:val="both"/>
        <w:rPr>
          <w:sz w:val="20"/>
          <w:szCs w:val="20"/>
        </w:rPr>
      </w:pPr>
      <w:r w:rsidRPr="00EC2BCC">
        <w:rPr>
          <w:sz w:val="20"/>
          <w:szCs w:val="20"/>
          <w:lang w:val="en"/>
        </w:rPr>
        <w:t xml:space="preserve">As given in Table 9, a statistically important change was observed in average of undergraduate achievement grades of the participants according to the level of vividness of the VI (p = .016). It is seen that the undergraduate average of </w:t>
      </w:r>
      <w:proofErr w:type="spellStart"/>
      <w:r w:rsidRPr="00EC2BCC">
        <w:rPr>
          <w:sz w:val="20"/>
          <w:szCs w:val="20"/>
        </w:rPr>
        <w:t>aphantasic</w:t>
      </w:r>
      <w:proofErr w:type="spellEnd"/>
      <w:r w:rsidRPr="00EC2BCC">
        <w:rPr>
          <w:sz w:val="20"/>
          <w:szCs w:val="20"/>
          <w:lang w:val="en"/>
        </w:rPr>
        <w:t xml:space="preserve"> people (X = 3.14) is statistically higher than those who do not (X = 2.97). </w:t>
      </w:r>
    </w:p>
    <w:p w14:paraId="6AB327A2" w14:textId="77777777" w:rsidR="0060578E" w:rsidRPr="00EC2BCC" w:rsidRDefault="0060578E" w:rsidP="0060578E">
      <w:pPr>
        <w:pStyle w:val="NormalWeb"/>
        <w:spacing w:before="0" w:beforeAutospacing="0" w:after="120" w:afterAutospacing="0" w:line="360" w:lineRule="auto"/>
        <w:jc w:val="both"/>
        <w:rPr>
          <w:sz w:val="20"/>
          <w:szCs w:val="20"/>
        </w:rPr>
      </w:pPr>
      <w:r w:rsidRPr="0060578E">
        <w:rPr>
          <w:bCs/>
          <w:sz w:val="20"/>
          <w:szCs w:val="20"/>
          <w:lang w:val="en"/>
        </w:rPr>
        <w:t>Table 10.</w:t>
      </w:r>
      <w:r w:rsidRPr="00EC2BCC">
        <w:rPr>
          <w:sz w:val="20"/>
          <w:szCs w:val="20"/>
          <w:lang w:val="en"/>
        </w:rPr>
        <w:t xml:space="preserve"> Chi-square test results to determine whether perceived achievement depends on Viability of VI Variable.</w:t>
      </w:r>
    </w:p>
    <w:tbl>
      <w:tblPr>
        <w:tblStyle w:val="DzTablo2"/>
        <w:tblW w:w="9072" w:type="dxa"/>
        <w:tblLayout w:type="fixed"/>
        <w:tblLook w:val="04A0" w:firstRow="1" w:lastRow="0" w:firstColumn="1" w:lastColumn="0" w:noHBand="0" w:noVBand="1"/>
      </w:tblPr>
      <w:tblGrid>
        <w:gridCol w:w="728"/>
        <w:gridCol w:w="1540"/>
        <w:gridCol w:w="568"/>
        <w:gridCol w:w="1019"/>
        <w:gridCol w:w="1532"/>
        <w:gridCol w:w="815"/>
        <w:gridCol w:w="1059"/>
        <w:gridCol w:w="835"/>
        <w:gridCol w:w="976"/>
      </w:tblGrid>
      <w:tr w:rsidR="0060578E" w:rsidRPr="00EC2BCC" w14:paraId="10A5DE50" w14:textId="77777777" w:rsidTr="004E7C99">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268" w:type="dxa"/>
            <w:gridSpan w:val="2"/>
            <w:vMerge w:val="restart"/>
            <w:tcBorders>
              <w:top w:val="single" w:sz="4" w:space="0" w:color="7F7F7F" w:themeColor="text1" w:themeTint="80"/>
              <w:bottom w:val="nil"/>
            </w:tcBorders>
            <w:vAlign w:val="center"/>
            <w:hideMark/>
          </w:tcPr>
          <w:p w14:paraId="39569472" w14:textId="77777777" w:rsidR="0060578E" w:rsidRPr="00EC2BCC" w:rsidRDefault="0060578E" w:rsidP="004E7C99">
            <w:pPr>
              <w:spacing w:line="360" w:lineRule="auto"/>
              <w:jc w:val="center"/>
              <w:rPr>
                <w:rFonts w:cs="Times New Roman"/>
                <w:bCs w:val="0"/>
                <w:color w:val="000000"/>
                <w:szCs w:val="20"/>
                <w:lang w:val="tr-TR" w:eastAsia="en-GB"/>
              </w:rPr>
            </w:pPr>
            <w:r w:rsidRPr="00EC2BCC">
              <w:rPr>
                <w:rFonts w:cs="Times New Roman"/>
                <w:bCs w:val="0"/>
                <w:color w:val="000000"/>
                <w:szCs w:val="20"/>
                <w:lang w:val="en" w:eastAsia="en-GB"/>
              </w:rPr>
              <w:t>Groups</w:t>
            </w:r>
          </w:p>
        </w:tc>
        <w:tc>
          <w:tcPr>
            <w:tcW w:w="3119" w:type="dxa"/>
            <w:gridSpan w:val="3"/>
            <w:tcBorders>
              <w:top w:val="single" w:sz="4" w:space="0" w:color="7F7F7F" w:themeColor="text1" w:themeTint="80"/>
              <w:bottom w:val="single" w:sz="4" w:space="0" w:color="auto"/>
            </w:tcBorders>
            <w:vAlign w:val="center"/>
            <w:hideMark/>
          </w:tcPr>
          <w:p w14:paraId="4989B4C0" w14:textId="77777777" w:rsidR="0060578E" w:rsidRPr="00EC2BCC" w:rsidRDefault="0060578E" w:rsidP="004E7C99">
            <w:pPr>
              <w:spacing w:line="360" w:lineRule="auto"/>
              <w:ind w:firstLine="302"/>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Perceived achievement level</w:t>
            </w:r>
          </w:p>
        </w:tc>
        <w:tc>
          <w:tcPr>
            <w:tcW w:w="815" w:type="dxa"/>
            <w:vMerge w:val="restart"/>
            <w:tcBorders>
              <w:top w:val="single" w:sz="4" w:space="0" w:color="7F7F7F" w:themeColor="text1" w:themeTint="80"/>
              <w:bottom w:val="single" w:sz="4" w:space="0" w:color="auto"/>
            </w:tcBorders>
            <w:vAlign w:val="center"/>
            <w:hideMark/>
          </w:tcPr>
          <w:p w14:paraId="42E813B3"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r w:rsidRPr="00EC2BCC">
              <w:rPr>
                <w:rFonts w:cs="Times New Roman"/>
                <w:bCs w:val="0"/>
                <w:color w:val="000000"/>
                <w:szCs w:val="20"/>
                <w:lang w:val="en" w:eastAsia="en-GB"/>
              </w:rPr>
              <w:t>Sum</w:t>
            </w:r>
          </w:p>
        </w:tc>
        <w:tc>
          <w:tcPr>
            <w:tcW w:w="1059" w:type="dxa"/>
            <w:vMerge w:val="restart"/>
            <w:tcBorders>
              <w:top w:val="single" w:sz="4" w:space="0" w:color="7F7F7F" w:themeColor="text1" w:themeTint="80"/>
              <w:bottom w:val="single" w:sz="4" w:space="0" w:color="auto"/>
            </w:tcBorders>
            <w:noWrap/>
            <w:vAlign w:val="center"/>
            <w:hideMark/>
          </w:tcPr>
          <w:p w14:paraId="5C488DB9"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0"/>
                <w:lang w:val="tr-TR" w:eastAsia="en-GB"/>
              </w:rPr>
            </w:pPr>
            <m:oMathPara>
              <m:oMath>
                <m:sSup>
                  <m:sSupPr>
                    <m:ctrlPr>
                      <w:rPr>
                        <w:rFonts w:ascii="Cambria Math" w:hAnsi="Cambria Math" w:cs="Times New Roman"/>
                        <w:b w:val="0"/>
                        <w:bCs w:val="0"/>
                        <w:i/>
                        <w:szCs w:val="20"/>
                        <w:lang w:val="tr-TR" w:eastAsia="en-GB"/>
                      </w:rPr>
                    </m:ctrlPr>
                  </m:sSupPr>
                  <m:e>
                    <m:r>
                      <m:rPr>
                        <m:sty m:val="bi"/>
                      </m:rPr>
                      <w:rPr>
                        <w:rFonts w:ascii="Cambria Math" w:hAnsi="Cambria Math" w:cs="Times New Roman"/>
                        <w:szCs w:val="20"/>
                        <w:lang w:val="tr-TR" w:eastAsia="en-GB"/>
                      </w:rPr>
                      <m:t>X</m:t>
                    </m:r>
                  </m:e>
                  <m:sup>
                    <m:r>
                      <m:rPr>
                        <m:sty m:val="bi"/>
                      </m:rPr>
                      <w:rPr>
                        <w:rFonts w:ascii="Cambria Math" w:hAnsi="Cambria Math" w:cs="Times New Roman"/>
                        <w:szCs w:val="20"/>
                        <w:lang w:val="tr-TR" w:eastAsia="en-GB"/>
                      </w:rPr>
                      <m:t>2</m:t>
                    </m:r>
                  </m:sup>
                </m:sSup>
              </m:oMath>
            </m:oMathPara>
          </w:p>
        </w:tc>
        <w:tc>
          <w:tcPr>
            <w:tcW w:w="835" w:type="dxa"/>
            <w:vMerge w:val="restart"/>
            <w:tcBorders>
              <w:top w:val="single" w:sz="4" w:space="0" w:color="7F7F7F" w:themeColor="text1" w:themeTint="80"/>
              <w:bottom w:val="single" w:sz="4" w:space="0" w:color="auto"/>
            </w:tcBorders>
            <w:noWrap/>
            <w:vAlign w:val="center"/>
            <w:hideMark/>
          </w:tcPr>
          <w:p w14:paraId="6671C7EC"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r w:rsidRPr="00EC2BCC">
              <w:rPr>
                <w:rFonts w:cs="Times New Roman"/>
                <w:bCs w:val="0"/>
                <w:color w:val="000000"/>
                <w:szCs w:val="20"/>
                <w:lang w:val="en" w:eastAsia="en-GB"/>
              </w:rPr>
              <w:t>Sd</w:t>
            </w:r>
          </w:p>
        </w:tc>
        <w:tc>
          <w:tcPr>
            <w:tcW w:w="976" w:type="dxa"/>
            <w:vMerge w:val="restart"/>
            <w:tcBorders>
              <w:top w:val="single" w:sz="4" w:space="0" w:color="7F7F7F" w:themeColor="text1" w:themeTint="80"/>
              <w:bottom w:val="single" w:sz="4" w:space="0" w:color="auto"/>
            </w:tcBorders>
            <w:noWrap/>
            <w:vAlign w:val="center"/>
            <w:hideMark/>
          </w:tcPr>
          <w:p w14:paraId="360FA125"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Cs w:val="20"/>
                <w:lang w:val="tr-TR" w:eastAsia="en-GB"/>
              </w:rPr>
            </w:pPr>
            <w:r w:rsidRPr="00EC2BCC">
              <w:rPr>
                <w:rFonts w:cs="Times New Roman"/>
                <w:bCs w:val="0"/>
                <w:color w:val="000000"/>
                <w:szCs w:val="20"/>
                <w:lang w:val="en" w:eastAsia="en-GB"/>
              </w:rPr>
              <w:t>P</w:t>
            </w:r>
          </w:p>
        </w:tc>
      </w:tr>
      <w:tr w:rsidR="0060578E" w:rsidRPr="00EC2BCC" w14:paraId="580F3CA2" w14:textId="77777777" w:rsidTr="004E7C9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68" w:type="dxa"/>
            <w:gridSpan w:val="2"/>
            <w:vMerge/>
            <w:tcBorders>
              <w:top w:val="nil"/>
              <w:bottom w:val="nil"/>
            </w:tcBorders>
            <w:hideMark/>
          </w:tcPr>
          <w:p w14:paraId="464E5CAF" w14:textId="77777777" w:rsidR="0060578E" w:rsidRPr="00EC2BCC" w:rsidRDefault="0060578E" w:rsidP="004E7C99">
            <w:pPr>
              <w:spacing w:line="360" w:lineRule="auto"/>
              <w:rPr>
                <w:rFonts w:cs="Times New Roman"/>
                <w:b w:val="0"/>
                <w:bCs w:val="0"/>
                <w:color w:val="000000"/>
                <w:szCs w:val="20"/>
                <w:lang w:val="tr-TR" w:eastAsia="en-GB"/>
              </w:rPr>
            </w:pPr>
          </w:p>
        </w:tc>
        <w:tc>
          <w:tcPr>
            <w:tcW w:w="568" w:type="dxa"/>
            <w:tcBorders>
              <w:top w:val="single" w:sz="4" w:space="0" w:color="auto"/>
              <w:bottom w:val="single" w:sz="4" w:space="0" w:color="auto"/>
            </w:tcBorders>
            <w:vAlign w:val="center"/>
            <w:hideMark/>
          </w:tcPr>
          <w:p w14:paraId="47467333"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Yes</w:t>
            </w:r>
          </w:p>
        </w:tc>
        <w:tc>
          <w:tcPr>
            <w:tcW w:w="1019" w:type="dxa"/>
            <w:tcBorders>
              <w:top w:val="single" w:sz="4" w:space="0" w:color="auto"/>
              <w:bottom w:val="single" w:sz="4" w:space="0" w:color="auto"/>
            </w:tcBorders>
            <w:vAlign w:val="center"/>
            <w:hideMark/>
          </w:tcPr>
          <w:p w14:paraId="74BE4C42"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No</w:t>
            </w:r>
          </w:p>
        </w:tc>
        <w:tc>
          <w:tcPr>
            <w:tcW w:w="1532" w:type="dxa"/>
            <w:tcBorders>
              <w:top w:val="single" w:sz="4" w:space="0" w:color="auto"/>
              <w:bottom w:val="single" w:sz="4" w:space="0" w:color="auto"/>
            </w:tcBorders>
            <w:vAlign w:val="center"/>
            <w:hideMark/>
          </w:tcPr>
          <w:p w14:paraId="43806CEC"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b/>
                <w:color w:val="000000"/>
                <w:szCs w:val="20"/>
                <w:lang w:val="tr-TR" w:eastAsia="en-GB"/>
              </w:rPr>
            </w:pPr>
            <w:r w:rsidRPr="00EC2BCC">
              <w:rPr>
                <w:rFonts w:cs="Times New Roman"/>
                <w:b/>
                <w:color w:val="000000"/>
                <w:szCs w:val="20"/>
                <w:lang w:val="en" w:eastAsia="en-GB"/>
              </w:rPr>
              <w:t>Partly</w:t>
            </w:r>
          </w:p>
        </w:tc>
        <w:tc>
          <w:tcPr>
            <w:tcW w:w="815" w:type="dxa"/>
            <w:vMerge/>
            <w:tcBorders>
              <w:top w:val="nil"/>
              <w:bottom w:val="single" w:sz="4" w:space="0" w:color="auto"/>
            </w:tcBorders>
            <w:vAlign w:val="center"/>
            <w:hideMark/>
          </w:tcPr>
          <w:p w14:paraId="30DF779F"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1059" w:type="dxa"/>
            <w:vMerge/>
            <w:tcBorders>
              <w:top w:val="nil"/>
              <w:bottom w:val="single" w:sz="4" w:space="0" w:color="auto"/>
            </w:tcBorders>
            <w:noWrap/>
            <w:vAlign w:val="center"/>
            <w:hideMark/>
          </w:tcPr>
          <w:p w14:paraId="07FCD918"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p>
        </w:tc>
        <w:tc>
          <w:tcPr>
            <w:tcW w:w="835" w:type="dxa"/>
            <w:vMerge/>
            <w:tcBorders>
              <w:top w:val="nil"/>
              <w:bottom w:val="single" w:sz="4" w:space="0" w:color="auto"/>
            </w:tcBorders>
            <w:noWrap/>
            <w:vAlign w:val="center"/>
            <w:hideMark/>
          </w:tcPr>
          <w:p w14:paraId="0A212864"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976" w:type="dxa"/>
            <w:vMerge/>
            <w:tcBorders>
              <w:top w:val="nil"/>
              <w:bottom w:val="single" w:sz="4" w:space="0" w:color="auto"/>
            </w:tcBorders>
            <w:noWrap/>
            <w:vAlign w:val="center"/>
            <w:hideMark/>
          </w:tcPr>
          <w:p w14:paraId="3517406C"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r>
      <w:tr w:rsidR="0060578E" w:rsidRPr="00EC2BCC" w14:paraId="40EE4268" w14:textId="77777777" w:rsidTr="004E7C99">
        <w:trPr>
          <w:trHeight w:val="284"/>
        </w:trPr>
        <w:tc>
          <w:tcPr>
            <w:cnfStyle w:val="001000000000" w:firstRow="0" w:lastRow="0" w:firstColumn="1" w:lastColumn="0" w:oddVBand="0" w:evenVBand="0" w:oddHBand="0" w:evenHBand="0" w:firstRowFirstColumn="0" w:firstRowLastColumn="0" w:lastRowFirstColumn="0" w:lastRowLastColumn="0"/>
            <w:tcW w:w="728" w:type="dxa"/>
            <w:vMerge w:val="restart"/>
            <w:tcBorders>
              <w:top w:val="single" w:sz="4" w:space="0" w:color="auto"/>
              <w:bottom w:val="single" w:sz="4" w:space="0" w:color="auto"/>
            </w:tcBorders>
            <w:vAlign w:val="center"/>
            <w:hideMark/>
          </w:tcPr>
          <w:p w14:paraId="5B96050A" w14:textId="77777777" w:rsidR="0060578E" w:rsidRPr="00EC2BCC" w:rsidRDefault="0060578E" w:rsidP="004E7C99">
            <w:pPr>
              <w:spacing w:line="360" w:lineRule="auto"/>
              <w:ind w:firstLine="0"/>
              <w:jc w:val="center"/>
              <w:rPr>
                <w:rFonts w:cs="Times New Roman"/>
                <w:b w:val="0"/>
                <w:bCs w:val="0"/>
                <w:color w:val="000000"/>
                <w:szCs w:val="20"/>
                <w:lang w:val="tr-TR" w:eastAsia="en-GB"/>
              </w:rPr>
            </w:pPr>
          </w:p>
        </w:tc>
        <w:tc>
          <w:tcPr>
            <w:tcW w:w="1540" w:type="dxa"/>
            <w:tcBorders>
              <w:top w:val="single" w:sz="4" w:space="0" w:color="auto"/>
              <w:bottom w:val="single" w:sz="4" w:space="0" w:color="auto"/>
            </w:tcBorders>
            <w:vAlign w:val="center"/>
            <w:hideMark/>
          </w:tcPr>
          <w:p w14:paraId="254C49F2"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szCs w:val="20"/>
              </w:rPr>
              <w:t>A</w:t>
            </w:r>
            <w:proofErr w:type="spellStart"/>
            <w:r w:rsidRPr="00EC2BCC">
              <w:rPr>
                <w:rFonts w:cs="Times New Roman"/>
                <w:szCs w:val="20"/>
                <w:lang w:val="tr-TR"/>
              </w:rPr>
              <w:t>phantasic</w:t>
            </w:r>
            <w:proofErr w:type="spellEnd"/>
          </w:p>
        </w:tc>
        <w:tc>
          <w:tcPr>
            <w:tcW w:w="568" w:type="dxa"/>
            <w:tcBorders>
              <w:top w:val="single" w:sz="4" w:space="0" w:color="auto"/>
              <w:bottom w:val="single" w:sz="4" w:space="0" w:color="auto"/>
            </w:tcBorders>
            <w:noWrap/>
            <w:vAlign w:val="center"/>
            <w:hideMark/>
          </w:tcPr>
          <w:p w14:paraId="7ABD7F4F"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39</w:t>
            </w:r>
          </w:p>
        </w:tc>
        <w:tc>
          <w:tcPr>
            <w:tcW w:w="1019" w:type="dxa"/>
            <w:tcBorders>
              <w:top w:val="single" w:sz="4" w:space="0" w:color="auto"/>
              <w:bottom w:val="single" w:sz="4" w:space="0" w:color="auto"/>
            </w:tcBorders>
            <w:noWrap/>
            <w:vAlign w:val="center"/>
            <w:hideMark/>
          </w:tcPr>
          <w:p w14:paraId="52C9F4F5"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12</w:t>
            </w:r>
          </w:p>
        </w:tc>
        <w:tc>
          <w:tcPr>
            <w:tcW w:w="1532" w:type="dxa"/>
            <w:tcBorders>
              <w:top w:val="single" w:sz="4" w:space="0" w:color="auto"/>
              <w:bottom w:val="single" w:sz="4" w:space="0" w:color="auto"/>
            </w:tcBorders>
            <w:noWrap/>
            <w:vAlign w:val="center"/>
            <w:hideMark/>
          </w:tcPr>
          <w:p w14:paraId="28C72D34"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13</w:t>
            </w:r>
          </w:p>
        </w:tc>
        <w:tc>
          <w:tcPr>
            <w:tcW w:w="815" w:type="dxa"/>
            <w:tcBorders>
              <w:top w:val="single" w:sz="4" w:space="0" w:color="auto"/>
              <w:bottom w:val="single" w:sz="4" w:space="0" w:color="auto"/>
            </w:tcBorders>
            <w:noWrap/>
            <w:vAlign w:val="center"/>
            <w:hideMark/>
          </w:tcPr>
          <w:p w14:paraId="7C1DE154"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64</w:t>
            </w:r>
          </w:p>
        </w:tc>
        <w:tc>
          <w:tcPr>
            <w:tcW w:w="1059" w:type="dxa"/>
            <w:vMerge w:val="restart"/>
            <w:tcBorders>
              <w:top w:val="single" w:sz="4" w:space="0" w:color="auto"/>
              <w:bottom w:val="single" w:sz="4" w:space="0" w:color="auto"/>
            </w:tcBorders>
            <w:noWrap/>
            <w:vAlign w:val="center"/>
            <w:hideMark/>
          </w:tcPr>
          <w:p w14:paraId="215A519F" w14:textId="77777777" w:rsidR="0060578E" w:rsidRPr="00EC2BCC" w:rsidRDefault="0060578E" w:rsidP="004E7C99">
            <w:pPr>
              <w:spacing w:before="100" w:beforeAutospacing="1" w:after="100" w:afterAutospacing="1"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2.273</w:t>
            </w:r>
          </w:p>
        </w:tc>
        <w:tc>
          <w:tcPr>
            <w:tcW w:w="835" w:type="dxa"/>
            <w:vMerge w:val="restart"/>
            <w:tcBorders>
              <w:top w:val="single" w:sz="4" w:space="0" w:color="auto"/>
              <w:bottom w:val="single" w:sz="4" w:space="0" w:color="auto"/>
            </w:tcBorders>
            <w:noWrap/>
            <w:vAlign w:val="center"/>
            <w:hideMark/>
          </w:tcPr>
          <w:p w14:paraId="20FA0F37" w14:textId="77777777" w:rsidR="0060578E" w:rsidRPr="00EC2BCC" w:rsidRDefault="0060578E" w:rsidP="004E7C99">
            <w:pPr>
              <w:spacing w:before="100" w:beforeAutospacing="1" w:after="100" w:afterAutospacing="1"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w:t>
            </w:r>
          </w:p>
        </w:tc>
        <w:tc>
          <w:tcPr>
            <w:tcW w:w="976" w:type="dxa"/>
            <w:vMerge w:val="restart"/>
            <w:tcBorders>
              <w:top w:val="single" w:sz="4" w:space="0" w:color="auto"/>
              <w:bottom w:val="single" w:sz="4" w:space="0" w:color="auto"/>
            </w:tcBorders>
            <w:noWrap/>
            <w:vAlign w:val="center"/>
            <w:hideMark/>
          </w:tcPr>
          <w:p w14:paraId="34266B47" w14:textId="77777777" w:rsidR="0060578E" w:rsidRPr="00EC2BCC" w:rsidRDefault="0060578E" w:rsidP="004E7C99">
            <w:pPr>
              <w:spacing w:before="100" w:beforeAutospacing="1" w:after="100" w:afterAutospacing="1"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.321</w:t>
            </w:r>
          </w:p>
        </w:tc>
      </w:tr>
      <w:tr w:rsidR="0060578E" w:rsidRPr="00EC2BCC" w14:paraId="76515F21" w14:textId="77777777" w:rsidTr="004E7C9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8" w:type="dxa"/>
            <w:vMerge/>
            <w:tcBorders>
              <w:top w:val="single" w:sz="4" w:space="0" w:color="auto"/>
              <w:bottom w:val="single" w:sz="4" w:space="0" w:color="auto"/>
            </w:tcBorders>
            <w:hideMark/>
          </w:tcPr>
          <w:p w14:paraId="0F7671CA" w14:textId="77777777" w:rsidR="0060578E" w:rsidRPr="00EC2BCC" w:rsidRDefault="0060578E" w:rsidP="004E7C99">
            <w:pPr>
              <w:spacing w:line="360" w:lineRule="auto"/>
              <w:rPr>
                <w:rFonts w:cs="Times New Roman"/>
                <w:b w:val="0"/>
                <w:bCs w:val="0"/>
                <w:color w:val="000000"/>
                <w:szCs w:val="20"/>
                <w:lang w:val="tr-TR" w:eastAsia="en-GB"/>
              </w:rPr>
            </w:pPr>
          </w:p>
        </w:tc>
        <w:tc>
          <w:tcPr>
            <w:tcW w:w="1540" w:type="dxa"/>
            <w:tcBorders>
              <w:top w:val="single" w:sz="4" w:space="0" w:color="auto"/>
              <w:bottom w:val="single" w:sz="4" w:space="0" w:color="auto"/>
            </w:tcBorders>
            <w:vAlign w:val="center"/>
            <w:hideMark/>
          </w:tcPr>
          <w:p w14:paraId="4DF81C56"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bCs/>
                <w:szCs w:val="20"/>
                <w:lang w:val="en"/>
              </w:rPr>
              <w:t xml:space="preserve">Not </w:t>
            </w:r>
            <w:r w:rsidRPr="00EC2BCC">
              <w:rPr>
                <w:rFonts w:cs="Times New Roman"/>
                <w:szCs w:val="20"/>
              </w:rPr>
              <w:t>a</w:t>
            </w:r>
            <w:proofErr w:type="spellStart"/>
            <w:r w:rsidRPr="00EC2BCC">
              <w:rPr>
                <w:rFonts w:cs="Times New Roman"/>
                <w:szCs w:val="20"/>
                <w:lang w:val="tr-TR"/>
              </w:rPr>
              <w:t>phantasic</w:t>
            </w:r>
            <w:proofErr w:type="spellEnd"/>
          </w:p>
        </w:tc>
        <w:tc>
          <w:tcPr>
            <w:tcW w:w="568" w:type="dxa"/>
            <w:tcBorders>
              <w:top w:val="single" w:sz="4" w:space="0" w:color="auto"/>
              <w:bottom w:val="single" w:sz="4" w:space="0" w:color="auto"/>
            </w:tcBorders>
            <w:noWrap/>
            <w:vAlign w:val="center"/>
            <w:hideMark/>
          </w:tcPr>
          <w:p w14:paraId="4263F3CC"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100</w:t>
            </w:r>
          </w:p>
        </w:tc>
        <w:tc>
          <w:tcPr>
            <w:tcW w:w="1019" w:type="dxa"/>
            <w:tcBorders>
              <w:top w:val="single" w:sz="4" w:space="0" w:color="auto"/>
              <w:bottom w:val="single" w:sz="4" w:space="0" w:color="auto"/>
            </w:tcBorders>
            <w:noWrap/>
            <w:vAlign w:val="center"/>
            <w:hideMark/>
          </w:tcPr>
          <w:p w14:paraId="0F8CA9CF"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53</w:t>
            </w:r>
          </w:p>
        </w:tc>
        <w:tc>
          <w:tcPr>
            <w:tcW w:w="1532" w:type="dxa"/>
            <w:tcBorders>
              <w:top w:val="single" w:sz="4" w:space="0" w:color="auto"/>
              <w:bottom w:val="single" w:sz="4" w:space="0" w:color="auto"/>
            </w:tcBorders>
            <w:noWrap/>
            <w:vAlign w:val="center"/>
            <w:hideMark/>
          </w:tcPr>
          <w:p w14:paraId="225B35BB"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43</w:t>
            </w:r>
          </w:p>
        </w:tc>
        <w:tc>
          <w:tcPr>
            <w:tcW w:w="815" w:type="dxa"/>
            <w:tcBorders>
              <w:top w:val="single" w:sz="4" w:space="0" w:color="auto"/>
              <w:bottom w:val="single" w:sz="4" w:space="0" w:color="auto"/>
            </w:tcBorders>
            <w:noWrap/>
            <w:vAlign w:val="center"/>
            <w:hideMark/>
          </w:tcPr>
          <w:p w14:paraId="2028FE02"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196</w:t>
            </w:r>
          </w:p>
        </w:tc>
        <w:tc>
          <w:tcPr>
            <w:tcW w:w="1059" w:type="dxa"/>
            <w:vMerge/>
            <w:tcBorders>
              <w:top w:val="nil"/>
              <w:bottom w:val="single" w:sz="4" w:space="0" w:color="auto"/>
            </w:tcBorders>
            <w:noWrap/>
            <w:hideMark/>
          </w:tcPr>
          <w:p w14:paraId="5FA5599B" w14:textId="77777777" w:rsidR="0060578E" w:rsidRPr="00EC2BCC" w:rsidRDefault="0060578E" w:rsidP="004E7C99">
            <w:pPr>
              <w:spacing w:line="360" w:lineRule="auto"/>
              <w:cnfStyle w:val="000000100000" w:firstRow="0" w:lastRow="0" w:firstColumn="0" w:lastColumn="0" w:oddVBand="0" w:evenVBand="0" w:oddHBand="1" w:evenHBand="0" w:firstRowFirstColumn="0" w:firstRowLastColumn="0" w:lastRowFirstColumn="0" w:lastRowLastColumn="0"/>
              <w:rPr>
                <w:rFonts w:cs="Times New Roman"/>
                <w:szCs w:val="20"/>
                <w:lang w:val="tr-TR" w:eastAsia="en-GB"/>
              </w:rPr>
            </w:pPr>
          </w:p>
        </w:tc>
        <w:tc>
          <w:tcPr>
            <w:tcW w:w="835" w:type="dxa"/>
            <w:vMerge/>
            <w:tcBorders>
              <w:top w:val="nil"/>
              <w:bottom w:val="single" w:sz="4" w:space="0" w:color="auto"/>
            </w:tcBorders>
            <w:noWrap/>
            <w:hideMark/>
          </w:tcPr>
          <w:p w14:paraId="656B8911"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976" w:type="dxa"/>
            <w:vMerge/>
            <w:tcBorders>
              <w:top w:val="nil"/>
              <w:bottom w:val="single" w:sz="4" w:space="0" w:color="auto"/>
            </w:tcBorders>
            <w:noWrap/>
            <w:hideMark/>
          </w:tcPr>
          <w:p w14:paraId="69763162"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r>
      <w:tr w:rsidR="0060578E" w:rsidRPr="00EC2BCC" w14:paraId="335C4913" w14:textId="77777777" w:rsidTr="004E7C99">
        <w:trPr>
          <w:trHeight w:val="367"/>
        </w:trPr>
        <w:tc>
          <w:tcPr>
            <w:cnfStyle w:val="001000000000" w:firstRow="0" w:lastRow="0" w:firstColumn="1" w:lastColumn="0" w:oddVBand="0" w:evenVBand="0" w:oddHBand="0" w:evenHBand="0" w:firstRowFirstColumn="0" w:firstRowLastColumn="0" w:lastRowFirstColumn="0" w:lastRowLastColumn="0"/>
            <w:tcW w:w="2268" w:type="dxa"/>
            <w:gridSpan w:val="2"/>
            <w:tcBorders>
              <w:top w:val="nil"/>
              <w:bottom w:val="single" w:sz="4" w:space="0" w:color="7F7F7F" w:themeColor="text1" w:themeTint="80"/>
            </w:tcBorders>
            <w:vAlign w:val="center"/>
            <w:hideMark/>
          </w:tcPr>
          <w:p w14:paraId="2ABB6FB9" w14:textId="77777777" w:rsidR="0060578E" w:rsidRPr="00EC2BCC" w:rsidRDefault="0060578E" w:rsidP="004E7C99">
            <w:pPr>
              <w:spacing w:line="360" w:lineRule="auto"/>
              <w:ind w:firstLine="0"/>
              <w:jc w:val="center"/>
              <w:rPr>
                <w:rFonts w:cs="Times New Roman"/>
                <w:b w:val="0"/>
                <w:bCs w:val="0"/>
                <w:color w:val="000000"/>
                <w:szCs w:val="20"/>
                <w:lang w:val="tr-TR" w:eastAsia="en-GB"/>
              </w:rPr>
            </w:pPr>
            <w:r w:rsidRPr="00EC2BCC">
              <w:rPr>
                <w:rFonts w:cs="Times New Roman"/>
                <w:b w:val="0"/>
                <w:bCs w:val="0"/>
                <w:color w:val="000000"/>
                <w:szCs w:val="20"/>
                <w:lang w:val="en" w:eastAsia="en-GB"/>
              </w:rPr>
              <w:t xml:space="preserve">         Sum</w:t>
            </w:r>
          </w:p>
        </w:tc>
        <w:tc>
          <w:tcPr>
            <w:tcW w:w="568" w:type="dxa"/>
            <w:tcBorders>
              <w:top w:val="single" w:sz="4" w:space="0" w:color="auto"/>
              <w:bottom w:val="single" w:sz="4" w:space="0" w:color="7F7F7F" w:themeColor="text1" w:themeTint="80"/>
            </w:tcBorders>
            <w:noWrap/>
            <w:vAlign w:val="center"/>
            <w:hideMark/>
          </w:tcPr>
          <w:p w14:paraId="73B9D3E9"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139</w:t>
            </w:r>
          </w:p>
        </w:tc>
        <w:tc>
          <w:tcPr>
            <w:tcW w:w="1019" w:type="dxa"/>
            <w:tcBorders>
              <w:top w:val="single" w:sz="4" w:space="0" w:color="auto"/>
              <w:bottom w:val="single" w:sz="4" w:space="0" w:color="7F7F7F" w:themeColor="text1" w:themeTint="80"/>
            </w:tcBorders>
            <w:noWrap/>
            <w:vAlign w:val="center"/>
            <w:hideMark/>
          </w:tcPr>
          <w:p w14:paraId="3B038B54"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65</w:t>
            </w:r>
          </w:p>
        </w:tc>
        <w:tc>
          <w:tcPr>
            <w:tcW w:w="1532" w:type="dxa"/>
            <w:tcBorders>
              <w:top w:val="single" w:sz="4" w:space="0" w:color="auto"/>
              <w:bottom w:val="single" w:sz="4" w:space="0" w:color="7F7F7F" w:themeColor="text1" w:themeTint="80"/>
            </w:tcBorders>
            <w:noWrap/>
            <w:vAlign w:val="center"/>
            <w:hideMark/>
          </w:tcPr>
          <w:p w14:paraId="1204EEC2"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56</w:t>
            </w:r>
          </w:p>
        </w:tc>
        <w:tc>
          <w:tcPr>
            <w:tcW w:w="815" w:type="dxa"/>
            <w:tcBorders>
              <w:top w:val="single" w:sz="4" w:space="0" w:color="auto"/>
              <w:bottom w:val="single" w:sz="4" w:space="0" w:color="7F7F7F" w:themeColor="text1" w:themeTint="80"/>
            </w:tcBorders>
            <w:noWrap/>
            <w:vAlign w:val="center"/>
            <w:hideMark/>
          </w:tcPr>
          <w:p w14:paraId="624848C3"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260</w:t>
            </w:r>
          </w:p>
        </w:tc>
        <w:tc>
          <w:tcPr>
            <w:tcW w:w="1059" w:type="dxa"/>
            <w:vMerge/>
            <w:tcBorders>
              <w:top w:val="nil"/>
              <w:bottom w:val="single" w:sz="4" w:space="0" w:color="auto"/>
            </w:tcBorders>
            <w:noWrap/>
            <w:hideMark/>
          </w:tcPr>
          <w:p w14:paraId="0A1C5B34" w14:textId="77777777" w:rsidR="0060578E" w:rsidRPr="00EC2BCC" w:rsidRDefault="0060578E" w:rsidP="004E7C99">
            <w:pPr>
              <w:spacing w:line="360" w:lineRule="auto"/>
              <w:cnfStyle w:val="000000000000" w:firstRow="0" w:lastRow="0" w:firstColumn="0" w:lastColumn="0" w:oddVBand="0" w:evenVBand="0" w:oddHBand="0" w:evenHBand="0" w:firstRowFirstColumn="0" w:firstRowLastColumn="0" w:lastRowFirstColumn="0" w:lastRowLastColumn="0"/>
              <w:rPr>
                <w:rFonts w:cs="Times New Roman"/>
                <w:szCs w:val="20"/>
                <w:lang w:val="tr-TR" w:eastAsia="en-GB"/>
              </w:rPr>
            </w:pPr>
          </w:p>
        </w:tc>
        <w:tc>
          <w:tcPr>
            <w:tcW w:w="835" w:type="dxa"/>
            <w:vMerge/>
            <w:tcBorders>
              <w:top w:val="nil"/>
              <w:bottom w:val="single" w:sz="4" w:space="0" w:color="auto"/>
            </w:tcBorders>
            <w:noWrap/>
            <w:hideMark/>
          </w:tcPr>
          <w:p w14:paraId="7CE37EC1"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976" w:type="dxa"/>
            <w:vMerge/>
            <w:tcBorders>
              <w:top w:val="nil"/>
              <w:bottom w:val="single" w:sz="4" w:space="0" w:color="auto"/>
            </w:tcBorders>
            <w:noWrap/>
            <w:hideMark/>
          </w:tcPr>
          <w:p w14:paraId="3E829A0A"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r>
    </w:tbl>
    <w:p w14:paraId="06B0614E" w14:textId="77777777" w:rsidR="0060578E" w:rsidRDefault="0060578E" w:rsidP="0060578E">
      <w:pPr>
        <w:spacing w:line="360" w:lineRule="auto"/>
        <w:rPr>
          <w:rFonts w:cs="Times New Roman"/>
          <w:szCs w:val="20"/>
        </w:rPr>
      </w:pPr>
    </w:p>
    <w:p w14:paraId="30CD32B0" w14:textId="77777777" w:rsidR="0060578E" w:rsidRPr="00EC2BCC" w:rsidRDefault="0060578E" w:rsidP="0060578E">
      <w:pPr>
        <w:pStyle w:val="NormalWeb"/>
        <w:spacing w:line="360" w:lineRule="auto"/>
        <w:jc w:val="both"/>
        <w:rPr>
          <w:sz w:val="20"/>
          <w:szCs w:val="20"/>
        </w:rPr>
      </w:pPr>
      <w:r w:rsidRPr="00EC2BCC">
        <w:rPr>
          <w:sz w:val="20"/>
          <w:szCs w:val="20"/>
          <w:lang w:val="en"/>
        </w:rPr>
        <w:t>According to the results obtained from Chi-square test done to determine whether success levels perceived by the participants were dependent on their visual imagery vitality, no relationship between these two categorical variables could be determined (p = .321).</w:t>
      </w:r>
    </w:p>
    <w:p w14:paraId="4B1E5E88" w14:textId="77777777" w:rsidR="0060578E" w:rsidRPr="00EC2BCC" w:rsidRDefault="0060578E" w:rsidP="0060578E">
      <w:pPr>
        <w:spacing w:after="120" w:line="360" w:lineRule="auto"/>
        <w:rPr>
          <w:rFonts w:cs="Times New Roman"/>
          <w:szCs w:val="20"/>
        </w:rPr>
      </w:pPr>
      <w:r w:rsidRPr="0060578E">
        <w:rPr>
          <w:rFonts w:cs="Times New Roman"/>
          <w:bCs/>
          <w:szCs w:val="20"/>
          <w:lang w:val="en"/>
        </w:rPr>
        <w:t>Table 11.</w:t>
      </w:r>
      <w:r w:rsidRPr="00EC2BCC">
        <w:rPr>
          <w:rFonts w:cs="Times New Roman"/>
          <w:szCs w:val="20"/>
          <w:lang w:val="en"/>
        </w:rPr>
        <w:t xml:space="preserve"> Pearson correlation analysis to determine the relationships between Vividity of Visual Imagery, undergraduate achievement grades and learning styles.</w:t>
      </w:r>
    </w:p>
    <w:tbl>
      <w:tblPr>
        <w:tblStyle w:val="DzTablo2"/>
        <w:tblW w:w="8364" w:type="dxa"/>
        <w:tblLayout w:type="fixed"/>
        <w:tblLook w:val="04A0" w:firstRow="1" w:lastRow="0" w:firstColumn="1" w:lastColumn="0" w:noHBand="0" w:noVBand="1"/>
      </w:tblPr>
      <w:tblGrid>
        <w:gridCol w:w="3261"/>
        <w:gridCol w:w="708"/>
        <w:gridCol w:w="567"/>
        <w:gridCol w:w="592"/>
        <w:gridCol w:w="593"/>
        <w:gridCol w:w="593"/>
        <w:gridCol w:w="592"/>
        <w:gridCol w:w="593"/>
        <w:gridCol w:w="865"/>
      </w:tblGrid>
      <w:tr w:rsidR="0060578E" w:rsidRPr="00EC2BCC" w14:paraId="4B88BF1B" w14:textId="77777777" w:rsidTr="004E7C99">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7F7F7F" w:themeColor="text1" w:themeTint="80"/>
            </w:tcBorders>
            <w:noWrap/>
            <w:tcMar>
              <w:left w:w="28" w:type="dxa"/>
              <w:right w:w="28" w:type="dxa"/>
            </w:tcMar>
            <w:hideMark/>
          </w:tcPr>
          <w:p w14:paraId="66FEA51F" w14:textId="77777777" w:rsidR="0060578E" w:rsidRPr="00EC2BCC" w:rsidRDefault="0060578E" w:rsidP="004E7C99">
            <w:pPr>
              <w:spacing w:line="360" w:lineRule="auto"/>
              <w:rPr>
                <w:rFonts w:cs="Times New Roman"/>
                <w:color w:val="000000"/>
                <w:szCs w:val="20"/>
                <w:lang w:val="tr-TR" w:eastAsia="en-GB"/>
              </w:rPr>
            </w:pPr>
            <w:r w:rsidRPr="00EC2BCC">
              <w:rPr>
                <w:rFonts w:cs="Times New Roman"/>
                <w:color w:val="000000"/>
                <w:szCs w:val="20"/>
                <w:lang w:val="tr-TR" w:eastAsia="en-GB"/>
              </w:rPr>
              <w:t> </w:t>
            </w:r>
          </w:p>
        </w:tc>
        <w:tc>
          <w:tcPr>
            <w:tcW w:w="708" w:type="dxa"/>
            <w:tcBorders>
              <w:top w:val="single" w:sz="4" w:space="0" w:color="7F7F7F" w:themeColor="text1" w:themeTint="80"/>
            </w:tcBorders>
            <w:tcMar>
              <w:left w:w="28" w:type="dxa"/>
              <w:right w:w="28" w:type="dxa"/>
            </w:tcMar>
            <w:vAlign w:val="center"/>
          </w:tcPr>
          <w:p w14:paraId="5211950A"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X</w:t>
            </w:r>
          </w:p>
        </w:tc>
        <w:tc>
          <w:tcPr>
            <w:tcW w:w="567" w:type="dxa"/>
            <w:tcBorders>
              <w:top w:val="single" w:sz="4" w:space="0" w:color="7F7F7F" w:themeColor="text1" w:themeTint="80"/>
            </w:tcBorders>
            <w:tcMar>
              <w:left w:w="28" w:type="dxa"/>
              <w:right w:w="28" w:type="dxa"/>
            </w:tcMar>
            <w:vAlign w:val="center"/>
          </w:tcPr>
          <w:p w14:paraId="078F875D"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Ss.</w:t>
            </w:r>
          </w:p>
        </w:tc>
        <w:tc>
          <w:tcPr>
            <w:tcW w:w="592" w:type="dxa"/>
            <w:tcBorders>
              <w:top w:val="single" w:sz="4" w:space="0" w:color="7F7F7F" w:themeColor="text1" w:themeTint="80"/>
            </w:tcBorders>
            <w:noWrap/>
            <w:tcMar>
              <w:left w:w="28" w:type="dxa"/>
              <w:right w:w="28" w:type="dxa"/>
            </w:tcMar>
            <w:vAlign w:val="center"/>
            <w:hideMark/>
          </w:tcPr>
          <w:p w14:paraId="2848AF63"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w:t>
            </w:r>
          </w:p>
        </w:tc>
        <w:tc>
          <w:tcPr>
            <w:tcW w:w="593" w:type="dxa"/>
            <w:tcBorders>
              <w:top w:val="single" w:sz="4" w:space="0" w:color="7F7F7F" w:themeColor="text1" w:themeTint="80"/>
            </w:tcBorders>
            <w:noWrap/>
            <w:tcMar>
              <w:left w:w="28" w:type="dxa"/>
              <w:right w:w="28" w:type="dxa"/>
            </w:tcMar>
            <w:vAlign w:val="center"/>
            <w:hideMark/>
          </w:tcPr>
          <w:p w14:paraId="077D3013"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w:t>
            </w:r>
          </w:p>
        </w:tc>
        <w:tc>
          <w:tcPr>
            <w:tcW w:w="593" w:type="dxa"/>
            <w:tcBorders>
              <w:top w:val="single" w:sz="4" w:space="0" w:color="7F7F7F" w:themeColor="text1" w:themeTint="80"/>
            </w:tcBorders>
            <w:noWrap/>
            <w:tcMar>
              <w:left w:w="28" w:type="dxa"/>
              <w:right w:w="28" w:type="dxa"/>
            </w:tcMar>
            <w:vAlign w:val="center"/>
            <w:hideMark/>
          </w:tcPr>
          <w:p w14:paraId="68AA0AD6"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w:t>
            </w:r>
          </w:p>
        </w:tc>
        <w:tc>
          <w:tcPr>
            <w:tcW w:w="592" w:type="dxa"/>
            <w:tcBorders>
              <w:top w:val="single" w:sz="4" w:space="0" w:color="7F7F7F" w:themeColor="text1" w:themeTint="80"/>
            </w:tcBorders>
            <w:noWrap/>
            <w:tcMar>
              <w:left w:w="28" w:type="dxa"/>
              <w:right w:w="28" w:type="dxa"/>
            </w:tcMar>
            <w:vAlign w:val="center"/>
            <w:hideMark/>
          </w:tcPr>
          <w:p w14:paraId="5E6EADF3"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4</w:t>
            </w:r>
          </w:p>
        </w:tc>
        <w:tc>
          <w:tcPr>
            <w:tcW w:w="593" w:type="dxa"/>
            <w:tcBorders>
              <w:top w:val="single" w:sz="4" w:space="0" w:color="7F7F7F" w:themeColor="text1" w:themeTint="80"/>
            </w:tcBorders>
            <w:noWrap/>
            <w:tcMar>
              <w:left w:w="28" w:type="dxa"/>
              <w:right w:w="28" w:type="dxa"/>
            </w:tcMar>
            <w:vAlign w:val="center"/>
            <w:hideMark/>
          </w:tcPr>
          <w:p w14:paraId="571426EE"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w:t>
            </w:r>
          </w:p>
        </w:tc>
        <w:tc>
          <w:tcPr>
            <w:tcW w:w="865" w:type="dxa"/>
            <w:tcBorders>
              <w:top w:val="single" w:sz="4" w:space="0" w:color="7F7F7F" w:themeColor="text1" w:themeTint="80"/>
            </w:tcBorders>
            <w:tcMar>
              <w:left w:w="28" w:type="dxa"/>
              <w:right w:w="28" w:type="dxa"/>
            </w:tcMar>
            <w:vAlign w:val="center"/>
          </w:tcPr>
          <w:p w14:paraId="3B2668A1" w14:textId="77777777" w:rsidR="0060578E" w:rsidRPr="00EC2BCC" w:rsidRDefault="0060578E" w:rsidP="004E7C99">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w:t>
            </w:r>
          </w:p>
        </w:tc>
      </w:tr>
      <w:tr w:rsidR="0060578E" w:rsidRPr="00EC2BCC" w14:paraId="0070C81B" w14:textId="77777777" w:rsidTr="004E7C9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noWrap/>
            <w:tcMar>
              <w:left w:w="28" w:type="dxa"/>
              <w:right w:w="28" w:type="dxa"/>
            </w:tcMar>
            <w:vAlign w:val="center"/>
            <w:hideMark/>
          </w:tcPr>
          <w:p w14:paraId="581847BF" w14:textId="77777777" w:rsidR="0060578E" w:rsidRPr="00EC2BCC" w:rsidRDefault="0060578E" w:rsidP="004E7C99">
            <w:pPr>
              <w:spacing w:line="360" w:lineRule="auto"/>
              <w:ind w:left="314" w:hanging="314"/>
              <w:jc w:val="left"/>
              <w:rPr>
                <w:rFonts w:cs="Times New Roman"/>
                <w:color w:val="000000"/>
                <w:szCs w:val="20"/>
                <w:lang w:val="tr-TR" w:eastAsia="en-GB"/>
              </w:rPr>
            </w:pPr>
            <w:r w:rsidRPr="00EC2BCC">
              <w:rPr>
                <w:rFonts w:cs="Times New Roman"/>
                <w:b w:val="0"/>
                <w:bCs w:val="0"/>
                <w:color w:val="000000"/>
                <w:szCs w:val="20"/>
                <w:lang w:val="en" w:eastAsia="en-GB"/>
              </w:rPr>
              <w:t xml:space="preserve">Vividity of Visual Imagery </w:t>
            </w:r>
          </w:p>
        </w:tc>
        <w:tc>
          <w:tcPr>
            <w:tcW w:w="708" w:type="dxa"/>
            <w:tcBorders>
              <w:bottom w:val="none" w:sz="0" w:space="0" w:color="auto"/>
            </w:tcBorders>
            <w:tcMar>
              <w:left w:w="28" w:type="dxa"/>
              <w:right w:w="28" w:type="dxa"/>
            </w:tcMar>
            <w:vAlign w:val="center"/>
          </w:tcPr>
          <w:p w14:paraId="36855B88"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47.71</w:t>
            </w:r>
          </w:p>
        </w:tc>
        <w:tc>
          <w:tcPr>
            <w:tcW w:w="567" w:type="dxa"/>
            <w:tcBorders>
              <w:bottom w:val="none" w:sz="0" w:space="0" w:color="auto"/>
            </w:tcBorders>
            <w:tcMar>
              <w:left w:w="28" w:type="dxa"/>
              <w:right w:w="28" w:type="dxa"/>
            </w:tcMar>
            <w:vAlign w:val="center"/>
          </w:tcPr>
          <w:p w14:paraId="35152E86"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21.14</w:t>
            </w:r>
          </w:p>
        </w:tc>
        <w:tc>
          <w:tcPr>
            <w:tcW w:w="592" w:type="dxa"/>
            <w:tcBorders>
              <w:bottom w:val="none" w:sz="0" w:space="0" w:color="auto"/>
            </w:tcBorders>
            <w:noWrap/>
            <w:tcMar>
              <w:left w:w="28" w:type="dxa"/>
              <w:right w:w="28" w:type="dxa"/>
            </w:tcMar>
            <w:vAlign w:val="center"/>
          </w:tcPr>
          <w:p w14:paraId="08A6946A"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w:t>
            </w:r>
          </w:p>
        </w:tc>
        <w:tc>
          <w:tcPr>
            <w:tcW w:w="593" w:type="dxa"/>
            <w:tcBorders>
              <w:bottom w:val="none" w:sz="0" w:space="0" w:color="auto"/>
            </w:tcBorders>
            <w:noWrap/>
            <w:tcMar>
              <w:left w:w="28" w:type="dxa"/>
              <w:right w:w="28" w:type="dxa"/>
            </w:tcMar>
            <w:vAlign w:val="center"/>
          </w:tcPr>
          <w:p w14:paraId="79984FCA"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.147</w:t>
            </w:r>
            <w:r w:rsidRPr="00EC2BCC">
              <w:rPr>
                <w:rFonts w:cs="Times New Roman"/>
                <w:color w:val="000000"/>
                <w:szCs w:val="20"/>
                <w:vertAlign w:val="superscript"/>
                <w:lang w:val="en" w:eastAsia="en-GB"/>
              </w:rPr>
              <w:t>*</w:t>
            </w:r>
          </w:p>
        </w:tc>
        <w:tc>
          <w:tcPr>
            <w:tcW w:w="593" w:type="dxa"/>
            <w:tcBorders>
              <w:bottom w:val="none" w:sz="0" w:space="0" w:color="auto"/>
            </w:tcBorders>
            <w:noWrap/>
            <w:tcMar>
              <w:left w:w="28" w:type="dxa"/>
              <w:right w:w="28" w:type="dxa"/>
            </w:tcMar>
            <w:vAlign w:val="center"/>
          </w:tcPr>
          <w:p w14:paraId="6339FBCE"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-.019</w:t>
            </w:r>
          </w:p>
        </w:tc>
        <w:tc>
          <w:tcPr>
            <w:tcW w:w="592" w:type="dxa"/>
            <w:tcBorders>
              <w:bottom w:val="none" w:sz="0" w:space="0" w:color="auto"/>
            </w:tcBorders>
            <w:noWrap/>
            <w:tcMar>
              <w:left w:w="28" w:type="dxa"/>
              <w:right w:w="28" w:type="dxa"/>
            </w:tcMar>
            <w:vAlign w:val="center"/>
          </w:tcPr>
          <w:p w14:paraId="427DFE9A"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.073</w:t>
            </w:r>
          </w:p>
        </w:tc>
        <w:tc>
          <w:tcPr>
            <w:tcW w:w="593" w:type="dxa"/>
            <w:tcBorders>
              <w:bottom w:val="none" w:sz="0" w:space="0" w:color="auto"/>
            </w:tcBorders>
            <w:noWrap/>
            <w:tcMar>
              <w:left w:w="28" w:type="dxa"/>
              <w:right w:w="28" w:type="dxa"/>
            </w:tcMar>
            <w:vAlign w:val="center"/>
          </w:tcPr>
          <w:p w14:paraId="769D41F1"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.127</w:t>
            </w:r>
            <w:r w:rsidRPr="00EC2BCC">
              <w:rPr>
                <w:rFonts w:cs="Times New Roman"/>
                <w:color w:val="000000"/>
                <w:szCs w:val="20"/>
                <w:vertAlign w:val="superscript"/>
                <w:lang w:val="en" w:eastAsia="en-GB"/>
              </w:rPr>
              <w:t>*</w:t>
            </w:r>
          </w:p>
        </w:tc>
        <w:tc>
          <w:tcPr>
            <w:tcW w:w="865" w:type="dxa"/>
            <w:tcBorders>
              <w:bottom w:val="none" w:sz="0" w:space="0" w:color="auto"/>
            </w:tcBorders>
            <w:tcMar>
              <w:left w:w="28" w:type="dxa"/>
              <w:right w:w="28" w:type="dxa"/>
            </w:tcMar>
            <w:vAlign w:val="center"/>
          </w:tcPr>
          <w:p w14:paraId="09F7BF41" w14:textId="77777777" w:rsidR="0060578E" w:rsidRPr="00EC2BCC" w:rsidRDefault="0060578E" w:rsidP="004E7C99">
            <w:pPr>
              <w:spacing w:line="360" w:lineRule="auto"/>
              <w:ind w:right="-22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.106</w:t>
            </w:r>
          </w:p>
        </w:tc>
      </w:tr>
      <w:tr w:rsidR="0060578E" w:rsidRPr="00EC2BCC" w14:paraId="7247C436" w14:textId="77777777" w:rsidTr="004E7C99">
        <w:trPr>
          <w:trHeight w:hRule="exact" w:val="340"/>
        </w:trPr>
        <w:tc>
          <w:tcPr>
            <w:cnfStyle w:val="001000000000" w:firstRow="0" w:lastRow="0" w:firstColumn="1" w:lastColumn="0" w:oddVBand="0" w:evenVBand="0" w:oddHBand="0" w:evenHBand="0" w:firstRowFirstColumn="0" w:firstRowLastColumn="0" w:lastRowFirstColumn="0" w:lastRowLastColumn="0"/>
            <w:tcW w:w="3261" w:type="dxa"/>
            <w:noWrap/>
            <w:tcMar>
              <w:left w:w="28" w:type="dxa"/>
              <w:right w:w="28" w:type="dxa"/>
            </w:tcMar>
            <w:vAlign w:val="center"/>
            <w:hideMark/>
          </w:tcPr>
          <w:p w14:paraId="01B95CB9" w14:textId="77777777" w:rsidR="0060578E" w:rsidRPr="00EC2BCC" w:rsidRDefault="0060578E" w:rsidP="004E7C99">
            <w:pPr>
              <w:spacing w:line="360" w:lineRule="auto"/>
              <w:ind w:left="882" w:hanging="882"/>
              <w:jc w:val="left"/>
              <w:rPr>
                <w:rFonts w:cs="Times New Roman"/>
                <w:color w:val="000000"/>
                <w:szCs w:val="20"/>
                <w:lang w:val="tr-TR" w:eastAsia="en-GB"/>
              </w:rPr>
            </w:pPr>
            <w:r w:rsidRPr="00EC2BCC">
              <w:rPr>
                <w:rFonts w:cs="Times New Roman"/>
                <w:b w:val="0"/>
                <w:bCs w:val="0"/>
                <w:color w:val="000000"/>
                <w:szCs w:val="20"/>
                <w:lang w:val="en" w:eastAsia="en-GB"/>
              </w:rPr>
              <w:t>License Grade</w:t>
            </w:r>
          </w:p>
        </w:tc>
        <w:tc>
          <w:tcPr>
            <w:tcW w:w="708" w:type="dxa"/>
            <w:tcMar>
              <w:left w:w="28" w:type="dxa"/>
              <w:right w:w="28" w:type="dxa"/>
            </w:tcMar>
            <w:vAlign w:val="center"/>
          </w:tcPr>
          <w:p w14:paraId="3F26DF6E"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3.01</w:t>
            </w:r>
          </w:p>
        </w:tc>
        <w:tc>
          <w:tcPr>
            <w:tcW w:w="567" w:type="dxa"/>
            <w:tcMar>
              <w:left w:w="28" w:type="dxa"/>
              <w:right w:w="28" w:type="dxa"/>
            </w:tcMar>
            <w:vAlign w:val="center"/>
          </w:tcPr>
          <w:p w14:paraId="5156431B"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0.49</w:t>
            </w:r>
          </w:p>
        </w:tc>
        <w:tc>
          <w:tcPr>
            <w:tcW w:w="592" w:type="dxa"/>
            <w:noWrap/>
            <w:tcMar>
              <w:left w:w="28" w:type="dxa"/>
              <w:right w:w="28" w:type="dxa"/>
            </w:tcMar>
            <w:vAlign w:val="center"/>
          </w:tcPr>
          <w:p w14:paraId="7559409E"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3" w:type="dxa"/>
            <w:noWrap/>
            <w:tcMar>
              <w:left w:w="28" w:type="dxa"/>
              <w:right w:w="28" w:type="dxa"/>
            </w:tcMar>
            <w:vAlign w:val="center"/>
          </w:tcPr>
          <w:p w14:paraId="7C10D71E"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w:t>
            </w:r>
          </w:p>
        </w:tc>
        <w:tc>
          <w:tcPr>
            <w:tcW w:w="593" w:type="dxa"/>
            <w:noWrap/>
            <w:tcMar>
              <w:left w:w="28" w:type="dxa"/>
              <w:right w:w="28" w:type="dxa"/>
            </w:tcMar>
            <w:vAlign w:val="center"/>
          </w:tcPr>
          <w:p w14:paraId="2D19A57E"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.043</w:t>
            </w:r>
          </w:p>
        </w:tc>
        <w:tc>
          <w:tcPr>
            <w:tcW w:w="592" w:type="dxa"/>
            <w:noWrap/>
            <w:tcMar>
              <w:left w:w="28" w:type="dxa"/>
              <w:right w:w="28" w:type="dxa"/>
            </w:tcMar>
            <w:vAlign w:val="center"/>
          </w:tcPr>
          <w:p w14:paraId="4BEE9589"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.036</w:t>
            </w:r>
          </w:p>
        </w:tc>
        <w:tc>
          <w:tcPr>
            <w:tcW w:w="593" w:type="dxa"/>
            <w:noWrap/>
            <w:tcMar>
              <w:left w:w="28" w:type="dxa"/>
              <w:right w:w="28" w:type="dxa"/>
            </w:tcMar>
            <w:vAlign w:val="center"/>
          </w:tcPr>
          <w:p w14:paraId="1AEB7C8B"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.040</w:t>
            </w:r>
          </w:p>
        </w:tc>
        <w:tc>
          <w:tcPr>
            <w:tcW w:w="865" w:type="dxa"/>
            <w:tcMar>
              <w:left w:w="28" w:type="dxa"/>
              <w:right w:w="28" w:type="dxa"/>
            </w:tcMar>
            <w:vAlign w:val="center"/>
          </w:tcPr>
          <w:p w14:paraId="571596D1"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.061</w:t>
            </w:r>
          </w:p>
        </w:tc>
      </w:tr>
      <w:tr w:rsidR="0060578E" w:rsidRPr="00EC2BCC" w14:paraId="50B79931" w14:textId="77777777" w:rsidTr="004E7C9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bottom w:val="none" w:sz="0" w:space="0" w:color="auto"/>
            </w:tcBorders>
            <w:noWrap/>
            <w:tcMar>
              <w:left w:w="28" w:type="dxa"/>
              <w:right w:w="28" w:type="dxa"/>
            </w:tcMar>
            <w:vAlign w:val="center"/>
            <w:hideMark/>
          </w:tcPr>
          <w:p w14:paraId="463F4839" w14:textId="77777777" w:rsidR="0060578E" w:rsidRPr="00EC2BCC" w:rsidRDefault="0060578E" w:rsidP="004E7C99">
            <w:pPr>
              <w:spacing w:line="360" w:lineRule="auto"/>
              <w:ind w:firstLine="0"/>
              <w:jc w:val="left"/>
              <w:rPr>
                <w:rFonts w:cs="Times New Roman"/>
                <w:color w:val="000000"/>
                <w:szCs w:val="20"/>
                <w:lang w:val="tr-TR" w:eastAsia="en-GB"/>
              </w:rPr>
            </w:pPr>
            <w:r w:rsidRPr="00EC2BCC">
              <w:rPr>
                <w:rFonts w:cs="Times New Roman"/>
                <w:b w:val="0"/>
                <w:bCs w:val="0"/>
                <w:color w:val="000000"/>
                <w:szCs w:val="20"/>
                <w:lang w:val="en" w:eastAsia="en-GB"/>
              </w:rPr>
              <w:t>Process Strategies</w:t>
            </w:r>
          </w:p>
        </w:tc>
        <w:tc>
          <w:tcPr>
            <w:tcW w:w="708" w:type="dxa"/>
            <w:tcBorders>
              <w:top w:val="none" w:sz="0" w:space="0" w:color="auto"/>
              <w:bottom w:val="none" w:sz="0" w:space="0" w:color="auto"/>
            </w:tcBorders>
            <w:tcMar>
              <w:left w:w="28" w:type="dxa"/>
              <w:right w:w="28" w:type="dxa"/>
            </w:tcMar>
            <w:vAlign w:val="center"/>
          </w:tcPr>
          <w:p w14:paraId="04C28F3F"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3.34</w:t>
            </w:r>
          </w:p>
        </w:tc>
        <w:tc>
          <w:tcPr>
            <w:tcW w:w="567" w:type="dxa"/>
            <w:tcBorders>
              <w:top w:val="none" w:sz="0" w:space="0" w:color="auto"/>
              <w:bottom w:val="none" w:sz="0" w:space="0" w:color="auto"/>
            </w:tcBorders>
            <w:tcMar>
              <w:left w:w="28" w:type="dxa"/>
              <w:right w:w="28" w:type="dxa"/>
            </w:tcMar>
            <w:vAlign w:val="center"/>
          </w:tcPr>
          <w:p w14:paraId="36FE23E0"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0.71</w:t>
            </w:r>
          </w:p>
        </w:tc>
        <w:tc>
          <w:tcPr>
            <w:tcW w:w="592" w:type="dxa"/>
            <w:tcBorders>
              <w:top w:val="none" w:sz="0" w:space="0" w:color="auto"/>
              <w:bottom w:val="none" w:sz="0" w:space="0" w:color="auto"/>
            </w:tcBorders>
            <w:noWrap/>
            <w:tcMar>
              <w:left w:w="28" w:type="dxa"/>
              <w:right w:w="28" w:type="dxa"/>
            </w:tcMar>
            <w:vAlign w:val="center"/>
          </w:tcPr>
          <w:p w14:paraId="4EB326DC"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593" w:type="dxa"/>
            <w:tcBorders>
              <w:top w:val="none" w:sz="0" w:space="0" w:color="auto"/>
              <w:bottom w:val="none" w:sz="0" w:space="0" w:color="auto"/>
            </w:tcBorders>
            <w:noWrap/>
            <w:tcMar>
              <w:left w:w="28" w:type="dxa"/>
              <w:right w:w="28" w:type="dxa"/>
            </w:tcMar>
            <w:vAlign w:val="center"/>
          </w:tcPr>
          <w:p w14:paraId="49E6A1A2"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593" w:type="dxa"/>
            <w:tcBorders>
              <w:top w:val="none" w:sz="0" w:space="0" w:color="auto"/>
              <w:bottom w:val="none" w:sz="0" w:space="0" w:color="auto"/>
            </w:tcBorders>
            <w:noWrap/>
            <w:tcMar>
              <w:left w:w="28" w:type="dxa"/>
              <w:right w:w="28" w:type="dxa"/>
            </w:tcMar>
            <w:vAlign w:val="center"/>
          </w:tcPr>
          <w:p w14:paraId="2FD3AA48"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w:t>
            </w:r>
          </w:p>
        </w:tc>
        <w:tc>
          <w:tcPr>
            <w:tcW w:w="592" w:type="dxa"/>
            <w:tcBorders>
              <w:top w:val="none" w:sz="0" w:space="0" w:color="auto"/>
              <w:bottom w:val="none" w:sz="0" w:space="0" w:color="auto"/>
            </w:tcBorders>
            <w:noWrap/>
            <w:tcMar>
              <w:left w:w="28" w:type="dxa"/>
              <w:right w:w="28" w:type="dxa"/>
            </w:tcMar>
            <w:vAlign w:val="center"/>
          </w:tcPr>
          <w:p w14:paraId="66384B3E"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.696</w:t>
            </w:r>
            <w:r w:rsidRPr="00EC2BCC">
              <w:rPr>
                <w:rFonts w:cs="Times New Roman"/>
                <w:color w:val="000000"/>
                <w:szCs w:val="20"/>
                <w:vertAlign w:val="superscript"/>
                <w:lang w:val="en" w:eastAsia="en-GB"/>
              </w:rPr>
              <w:t>**</w:t>
            </w:r>
          </w:p>
        </w:tc>
        <w:tc>
          <w:tcPr>
            <w:tcW w:w="593" w:type="dxa"/>
            <w:tcBorders>
              <w:top w:val="none" w:sz="0" w:space="0" w:color="auto"/>
              <w:bottom w:val="none" w:sz="0" w:space="0" w:color="auto"/>
            </w:tcBorders>
            <w:noWrap/>
            <w:tcMar>
              <w:left w:w="28" w:type="dxa"/>
              <w:right w:w="28" w:type="dxa"/>
            </w:tcMar>
            <w:vAlign w:val="center"/>
          </w:tcPr>
          <w:p w14:paraId="18AB877B"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.204</w:t>
            </w:r>
            <w:r w:rsidRPr="00EC2BCC">
              <w:rPr>
                <w:rFonts w:cs="Times New Roman"/>
                <w:color w:val="000000"/>
                <w:szCs w:val="20"/>
                <w:vertAlign w:val="superscript"/>
                <w:lang w:val="en" w:eastAsia="en-GB"/>
              </w:rPr>
              <w:t>**</w:t>
            </w:r>
          </w:p>
        </w:tc>
        <w:tc>
          <w:tcPr>
            <w:tcW w:w="865" w:type="dxa"/>
            <w:tcBorders>
              <w:top w:val="none" w:sz="0" w:space="0" w:color="auto"/>
              <w:bottom w:val="none" w:sz="0" w:space="0" w:color="auto"/>
            </w:tcBorders>
            <w:tcMar>
              <w:left w:w="28" w:type="dxa"/>
              <w:right w:w="28" w:type="dxa"/>
            </w:tcMar>
            <w:vAlign w:val="center"/>
          </w:tcPr>
          <w:p w14:paraId="07793A20"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.142</w:t>
            </w:r>
            <w:r w:rsidRPr="00EC2BCC">
              <w:rPr>
                <w:rFonts w:cs="Times New Roman"/>
                <w:color w:val="000000"/>
                <w:szCs w:val="20"/>
                <w:vertAlign w:val="superscript"/>
                <w:lang w:val="en" w:eastAsia="en-GB"/>
              </w:rPr>
              <w:t>*</w:t>
            </w:r>
          </w:p>
        </w:tc>
      </w:tr>
      <w:tr w:rsidR="0060578E" w:rsidRPr="00EC2BCC" w14:paraId="7DC3178C" w14:textId="77777777" w:rsidTr="004E7C99">
        <w:trPr>
          <w:trHeight w:hRule="exact" w:val="340"/>
        </w:trPr>
        <w:tc>
          <w:tcPr>
            <w:cnfStyle w:val="001000000000" w:firstRow="0" w:lastRow="0" w:firstColumn="1" w:lastColumn="0" w:oddVBand="0" w:evenVBand="0" w:oddHBand="0" w:evenHBand="0" w:firstRowFirstColumn="0" w:firstRowLastColumn="0" w:lastRowFirstColumn="0" w:lastRowLastColumn="0"/>
            <w:tcW w:w="3261" w:type="dxa"/>
            <w:noWrap/>
            <w:tcMar>
              <w:left w:w="28" w:type="dxa"/>
              <w:right w:w="28" w:type="dxa"/>
            </w:tcMar>
            <w:vAlign w:val="center"/>
            <w:hideMark/>
          </w:tcPr>
          <w:p w14:paraId="2E7CD627" w14:textId="77777777" w:rsidR="0060578E" w:rsidRPr="00EC2BCC" w:rsidRDefault="0060578E" w:rsidP="004E7C99">
            <w:pPr>
              <w:spacing w:line="360" w:lineRule="auto"/>
              <w:ind w:firstLine="0"/>
              <w:jc w:val="left"/>
              <w:rPr>
                <w:rFonts w:cs="Times New Roman"/>
                <w:color w:val="000000"/>
                <w:szCs w:val="20"/>
                <w:lang w:val="tr-TR" w:eastAsia="en-GB"/>
              </w:rPr>
            </w:pPr>
            <w:r w:rsidRPr="00EC2BCC">
              <w:rPr>
                <w:rFonts w:cs="Times New Roman"/>
                <w:b w:val="0"/>
                <w:bCs w:val="0"/>
                <w:color w:val="000000"/>
                <w:szCs w:val="20"/>
                <w:lang w:val="en" w:eastAsia="en-GB"/>
              </w:rPr>
              <w:t>Editing Strategies</w:t>
            </w:r>
          </w:p>
        </w:tc>
        <w:tc>
          <w:tcPr>
            <w:tcW w:w="708" w:type="dxa"/>
            <w:tcMar>
              <w:left w:w="28" w:type="dxa"/>
              <w:right w:w="28" w:type="dxa"/>
            </w:tcMar>
            <w:vAlign w:val="center"/>
          </w:tcPr>
          <w:p w14:paraId="0630587C"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3.38</w:t>
            </w:r>
          </w:p>
        </w:tc>
        <w:tc>
          <w:tcPr>
            <w:tcW w:w="567" w:type="dxa"/>
            <w:tcMar>
              <w:left w:w="28" w:type="dxa"/>
              <w:right w:w="28" w:type="dxa"/>
            </w:tcMar>
            <w:vAlign w:val="center"/>
          </w:tcPr>
          <w:p w14:paraId="07BF3703"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0.64</w:t>
            </w:r>
          </w:p>
        </w:tc>
        <w:tc>
          <w:tcPr>
            <w:tcW w:w="592" w:type="dxa"/>
            <w:noWrap/>
            <w:tcMar>
              <w:left w:w="28" w:type="dxa"/>
              <w:right w:w="28" w:type="dxa"/>
            </w:tcMar>
            <w:vAlign w:val="center"/>
          </w:tcPr>
          <w:p w14:paraId="4DAE16C7"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3" w:type="dxa"/>
            <w:noWrap/>
            <w:tcMar>
              <w:left w:w="28" w:type="dxa"/>
              <w:right w:w="28" w:type="dxa"/>
            </w:tcMar>
            <w:vAlign w:val="center"/>
          </w:tcPr>
          <w:p w14:paraId="2AAC9BF9"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3" w:type="dxa"/>
            <w:noWrap/>
            <w:tcMar>
              <w:left w:w="28" w:type="dxa"/>
              <w:right w:w="28" w:type="dxa"/>
            </w:tcMar>
            <w:vAlign w:val="center"/>
          </w:tcPr>
          <w:p w14:paraId="3AE86477"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2" w:type="dxa"/>
            <w:noWrap/>
            <w:tcMar>
              <w:left w:w="28" w:type="dxa"/>
              <w:right w:w="28" w:type="dxa"/>
            </w:tcMar>
            <w:vAlign w:val="center"/>
          </w:tcPr>
          <w:p w14:paraId="00630E3D"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w:t>
            </w:r>
          </w:p>
        </w:tc>
        <w:tc>
          <w:tcPr>
            <w:tcW w:w="593" w:type="dxa"/>
            <w:noWrap/>
            <w:tcMar>
              <w:left w:w="28" w:type="dxa"/>
              <w:right w:w="28" w:type="dxa"/>
            </w:tcMar>
            <w:vAlign w:val="center"/>
          </w:tcPr>
          <w:p w14:paraId="7325E7F0" w14:textId="77777777" w:rsidR="0060578E" w:rsidRPr="00EC2BCC" w:rsidRDefault="0060578E" w:rsidP="004E7C99">
            <w:pPr>
              <w:spacing w:line="360" w:lineRule="auto"/>
              <w:ind w:right="-964" w:firstLine="0"/>
              <w:jc w:val="left"/>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.397</w:t>
            </w:r>
            <w:r w:rsidRPr="00EC2BCC">
              <w:rPr>
                <w:rFonts w:cs="Times New Roman"/>
                <w:color w:val="000000"/>
                <w:szCs w:val="20"/>
                <w:vertAlign w:val="superscript"/>
                <w:lang w:val="en" w:eastAsia="en-GB"/>
              </w:rPr>
              <w:t>**</w:t>
            </w:r>
          </w:p>
        </w:tc>
        <w:tc>
          <w:tcPr>
            <w:tcW w:w="865" w:type="dxa"/>
            <w:tcMar>
              <w:left w:w="28" w:type="dxa"/>
              <w:right w:w="28" w:type="dxa"/>
            </w:tcMar>
            <w:vAlign w:val="center"/>
          </w:tcPr>
          <w:p w14:paraId="103FE1B8"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.560</w:t>
            </w:r>
            <w:r w:rsidRPr="00EC2BCC">
              <w:rPr>
                <w:rFonts w:cs="Times New Roman"/>
                <w:color w:val="000000"/>
                <w:szCs w:val="20"/>
                <w:vertAlign w:val="superscript"/>
                <w:lang w:val="en" w:eastAsia="en-GB"/>
              </w:rPr>
              <w:t>**</w:t>
            </w:r>
          </w:p>
        </w:tc>
      </w:tr>
      <w:tr w:rsidR="0060578E" w:rsidRPr="00EC2BCC" w14:paraId="7FEAAD54" w14:textId="77777777" w:rsidTr="004E7C9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bottom w:val="none" w:sz="0" w:space="0" w:color="auto"/>
            </w:tcBorders>
            <w:noWrap/>
            <w:tcMar>
              <w:left w:w="28" w:type="dxa"/>
              <w:right w:w="28" w:type="dxa"/>
            </w:tcMar>
            <w:vAlign w:val="center"/>
            <w:hideMark/>
          </w:tcPr>
          <w:p w14:paraId="406B4F8B" w14:textId="77777777" w:rsidR="0060578E" w:rsidRPr="00EC2BCC" w:rsidRDefault="0060578E" w:rsidP="004E7C99">
            <w:pPr>
              <w:spacing w:line="360" w:lineRule="auto"/>
              <w:ind w:firstLine="0"/>
              <w:jc w:val="left"/>
              <w:rPr>
                <w:rFonts w:cs="Times New Roman"/>
                <w:color w:val="000000"/>
                <w:szCs w:val="20"/>
                <w:lang w:val="tr-TR" w:eastAsia="en-GB"/>
              </w:rPr>
            </w:pPr>
            <w:r w:rsidRPr="00EC2BCC">
              <w:rPr>
                <w:rFonts w:cs="Times New Roman"/>
                <w:b w:val="0"/>
                <w:bCs w:val="0"/>
                <w:color w:val="000000"/>
                <w:szCs w:val="20"/>
                <w:lang w:val="en" w:eastAsia="en-GB"/>
              </w:rPr>
              <w:t>Mental Model in Learning</w:t>
            </w:r>
          </w:p>
        </w:tc>
        <w:tc>
          <w:tcPr>
            <w:tcW w:w="708" w:type="dxa"/>
            <w:tcBorders>
              <w:top w:val="none" w:sz="0" w:space="0" w:color="auto"/>
              <w:bottom w:val="none" w:sz="0" w:space="0" w:color="auto"/>
            </w:tcBorders>
            <w:tcMar>
              <w:left w:w="28" w:type="dxa"/>
              <w:right w:w="28" w:type="dxa"/>
            </w:tcMar>
            <w:vAlign w:val="center"/>
          </w:tcPr>
          <w:p w14:paraId="6FD760BC"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3.72</w:t>
            </w:r>
          </w:p>
        </w:tc>
        <w:tc>
          <w:tcPr>
            <w:tcW w:w="567" w:type="dxa"/>
            <w:tcBorders>
              <w:top w:val="none" w:sz="0" w:space="0" w:color="auto"/>
              <w:bottom w:val="none" w:sz="0" w:space="0" w:color="auto"/>
            </w:tcBorders>
            <w:tcMar>
              <w:left w:w="28" w:type="dxa"/>
              <w:right w:w="28" w:type="dxa"/>
            </w:tcMar>
            <w:vAlign w:val="center"/>
          </w:tcPr>
          <w:p w14:paraId="34A6F2F3"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rPr>
              <w:t>0.51</w:t>
            </w:r>
          </w:p>
        </w:tc>
        <w:tc>
          <w:tcPr>
            <w:tcW w:w="592" w:type="dxa"/>
            <w:tcBorders>
              <w:top w:val="none" w:sz="0" w:space="0" w:color="auto"/>
              <w:bottom w:val="none" w:sz="0" w:space="0" w:color="auto"/>
            </w:tcBorders>
            <w:noWrap/>
            <w:tcMar>
              <w:left w:w="28" w:type="dxa"/>
              <w:right w:w="28" w:type="dxa"/>
            </w:tcMar>
            <w:vAlign w:val="center"/>
          </w:tcPr>
          <w:p w14:paraId="03C32847"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593" w:type="dxa"/>
            <w:tcBorders>
              <w:top w:val="none" w:sz="0" w:space="0" w:color="auto"/>
              <w:bottom w:val="none" w:sz="0" w:space="0" w:color="auto"/>
            </w:tcBorders>
            <w:noWrap/>
            <w:tcMar>
              <w:left w:w="28" w:type="dxa"/>
              <w:right w:w="28" w:type="dxa"/>
            </w:tcMar>
            <w:vAlign w:val="center"/>
          </w:tcPr>
          <w:p w14:paraId="70ECD0A8"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593" w:type="dxa"/>
            <w:tcBorders>
              <w:top w:val="none" w:sz="0" w:space="0" w:color="auto"/>
              <w:bottom w:val="none" w:sz="0" w:space="0" w:color="auto"/>
            </w:tcBorders>
            <w:noWrap/>
            <w:tcMar>
              <w:left w:w="28" w:type="dxa"/>
              <w:right w:w="28" w:type="dxa"/>
            </w:tcMar>
            <w:vAlign w:val="center"/>
          </w:tcPr>
          <w:p w14:paraId="480DA4F5"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592" w:type="dxa"/>
            <w:tcBorders>
              <w:top w:val="none" w:sz="0" w:space="0" w:color="auto"/>
              <w:bottom w:val="none" w:sz="0" w:space="0" w:color="auto"/>
            </w:tcBorders>
            <w:noWrap/>
            <w:tcMar>
              <w:left w:w="28" w:type="dxa"/>
              <w:right w:w="28" w:type="dxa"/>
            </w:tcMar>
            <w:vAlign w:val="center"/>
          </w:tcPr>
          <w:p w14:paraId="4E7E2272" w14:textId="77777777" w:rsidR="0060578E" w:rsidRPr="00EC2BCC" w:rsidRDefault="0060578E" w:rsidP="004E7C9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p>
        </w:tc>
        <w:tc>
          <w:tcPr>
            <w:tcW w:w="593" w:type="dxa"/>
            <w:tcBorders>
              <w:top w:val="none" w:sz="0" w:space="0" w:color="auto"/>
              <w:bottom w:val="none" w:sz="0" w:space="0" w:color="auto"/>
            </w:tcBorders>
            <w:noWrap/>
            <w:tcMar>
              <w:left w:w="28" w:type="dxa"/>
              <w:right w:w="28" w:type="dxa"/>
            </w:tcMar>
            <w:vAlign w:val="center"/>
          </w:tcPr>
          <w:p w14:paraId="57FC4847"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w:t>
            </w:r>
          </w:p>
        </w:tc>
        <w:tc>
          <w:tcPr>
            <w:tcW w:w="865" w:type="dxa"/>
            <w:tcBorders>
              <w:top w:val="none" w:sz="0" w:space="0" w:color="auto"/>
              <w:bottom w:val="none" w:sz="0" w:space="0" w:color="auto"/>
            </w:tcBorders>
            <w:tcMar>
              <w:left w:w="28" w:type="dxa"/>
              <w:right w:w="28" w:type="dxa"/>
            </w:tcMar>
            <w:vAlign w:val="center"/>
          </w:tcPr>
          <w:p w14:paraId="046DB5F8" w14:textId="77777777" w:rsidR="0060578E" w:rsidRPr="00EC2BCC" w:rsidRDefault="0060578E" w:rsidP="004E7C99">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.363</w:t>
            </w:r>
            <w:r w:rsidRPr="00EC2BCC">
              <w:rPr>
                <w:rFonts w:cs="Times New Roman"/>
                <w:color w:val="000000"/>
                <w:szCs w:val="20"/>
                <w:vertAlign w:val="superscript"/>
                <w:lang w:val="en" w:eastAsia="en-GB"/>
              </w:rPr>
              <w:t>**</w:t>
            </w:r>
          </w:p>
        </w:tc>
      </w:tr>
      <w:tr w:rsidR="0060578E" w:rsidRPr="00EC2BCC" w14:paraId="15114B6A" w14:textId="77777777" w:rsidTr="004E7C99">
        <w:trPr>
          <w:trHeight w:hRule="exact" w:val="340"/>
        </w:trPr>
        <w:tc>
          <w:tcPr>
            <w:cnfStyle w:val="001000000000" w:firstRow="0" w:lastRow="0" w:firstColumn="1" w:lastColumn="0" w:oddVBand="0" w:evenVBand="0" w:oddHBand="0" w:evenHBand="0" w:firstRowFirstColumn="0" w:firstRowLastColumn="0" w:lastRowFirstColumn="0" w:lastRowLastColumn="0"/>
            <w:tcW w:w="3261" w:type="dxa"/>
            <w:noWrap/>
            <w:tcMar>
              <w:left w:w="28" w:type="dxa"/>
              <w:right w:w="28" w:type="dxa"/>
            </w:tcMar>
            <w:vAlign w:val="center"/>
          </w:tcPr>
          <w:p w14:paraId="69085F3B" w14:textId="77777777" w:rsidR="0060578E" w:rsidRPr="00EC2BCC" w:rsidRDefault="0060578E" w:rsidP="004E7C99">
            <w:pPr>
              <w:spacing w:line="360" w:lineRule="auto"/>
              <w:ind w:firstLine="0"/>
              <w:jc w:val="left"/>
              <w:rPr>
                <w:rFonts w:cs="Times New Roman"/>
                <w:color w:val="000000"/>
                <w:szCs w:val="20"/>
                <w:lang w:val="tr-TR" w:eastAsia="en-GB"/>
              </w:rPr>
            </w:pPr>
            <w:r w:rsidRPr="00EC2BCC">
              <w:rPr>
                <w:rFonts w:cs="Times New Roman"/>
                <w:b w:val="0"/>
                <w:bCs w:val="0"/>
                <w:color w:val="000000"/>
                <w:szCs w:val="20"/>
                <w:lang w:val="en" w:eastAsia="en-GB"/>
              </w:rPr>
              <w:t>Learning Orientations</w:t>
            </w:r>
          </w:p>
        </w:tc>
        <w:tc>
          <w:tcPr>
            <w:tcW w:w="708" w:type="dxa"/>
            <w:tcMar>
              <w:left w:w="28" w:type="dxa"/>
              <w:right w:w="28" w:type="dxa"/>
            </w:tcMar>
            <w:vAlign w:val="center"/>
          </w:tcPr>
          <w:p w14:paraId="013A540C"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rPr>
            </w:pPr>
            <w:r w:rsidRPr="00EC2BCC">
              <w:rPr>
                <w:rFonts w:cs="Times New Roman"/>
                <w:color w:val="000000"/>
                <w:szCs w:val="20"/>
                <w:lang w:val="en"/>
              </w:rPr>
              <w:t>3.62</w:t>
            </w:r>
          </w:p>
        </w:tc>
        <w:tc>
          <w:tcPr>
            <w:tcW w:w="567" w:type="dxa"/>
            <w:tcMar>
              <w:left w:w="28" w:type="dxa"/>
              <w:right w:w="28" w:type="dxa"/>
            </w:tcMar>
            <w:vAlign w:val="center"/>
          </w:tcPr>
          <w:p w14:paraId="35B6FC45"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rPr>
            </w:pPr>
            <w:r w:rsidRPr="00EC2BCC">
              <w:rPr>
                <w:rFonts w:cs="Times New Roman"/>
                <w:color w:val="000000"/>
                <w:szCs w:val="20"/>
                <w:lang w:val="en"/>
              </w:rPr>
              <w:t>0.58</w:t>
            </w:r>
          </w:p>
        </w:tc>
        <w:tc>
          <w:tcPr>
            <w:tcW w:w="592" w:type="dxa"/>
            <w:noWrap/>
            <w:tcMar>
              <w:left w:w="28" w:type="dxa"/>
              <w:right w:w="28" w:type="dxa"/>
            </w:tcMar>
            <w:vAlign w:val="center"/>
          </w:tcPr>
          <w:p w14:paraId="47F8A77A"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3" w:type="dxa"/>
            <w:noWrap/>
            <w:tcMar>
              <w:left w:w="28" w:type="dxa"/>
              <w:right w:w="28" w:type="dxa"/>
            </w:tcMar>
            <w:vAlign w:val="center"/>
          </w:tcPr>
          <w:p w14:paraId="293DD268"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3" w:type="dxa"/>
            <w:noWrap/>
            <w:tcMar>
              <w:left w:w="28" w:type="dxa"/>
              <w:right w:w="28" w:type="dxa"/>
            </w:tcMar>
            <w:vAlign w:val="center"/>
          </w:tcPr>
          <w:p w14:paraId="43BDA683"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2" w:type="dxa"/>
            <w:noWrap/>
            <w:tcMar>
              <w:left w:w="28" w:type="dxa"/>
              <w:right w:w="28" w:type="dxa"/>
            </w:tcMar>
            <w:vAlign w:val="center"/>
          </w:tcPr>
          <w:p w14:paraId="5DA9DB69"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593" w:type="dxa"/>
            <w:noWrap/>
            <w:tcMar>
              <w:left w:w="28" w:type="dxa"/>
              <w:right w:w="28" w:type="dxa"/>
            </w:tcMar>
            <w:vAlign w:val="center"/>
          </w:tcPr>
          <w:p w14:paraId="58533398" w14:textId="77777777" w:rsidR="0060578E" w:rsidRPr="00EC2BCC" w:rsidRDefault="0060578E" w:rsidP="004E7C9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p>
        </w:tc>
        <w:tc>
          <w:tcPr>
            <w:tcW w:w="865" w:type="dxa"/>
            <w:tcMar>
              <w:left w:w="28" w:type="dxa"/>
              <w:right w:w="28" w:type="dxa"/>
            </w:tcMar>
            <w:vAlign w:val="center"/>
          </w:tcPr>
          <w:p w14:paraId="0AEF3001" w14:textId="77777777" w:rsidR="0060578E" w:rsidRPr="00EC2BCC" w:rsidRDefault="0060578E" w:rsidP="004E7C99">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0"/>
                <w:lang w:val="tr-TR" w:eastAsia="en-GB"/>
              </w:rPr>
            </w:pPr>
            <w:r w:rsidRPr="00EC2BCC">
              <w:rPr>
                <w:rFonts w:cs="Times New Roman"/>
                <w:color w:val="000000"/>
                <w:szCs w:val="20"/>
                <w:lang w:val="en" w:eastAsia="en-GB"/>
              </w:rPr>
              <w:t>1</w:t>
            </w:r>
          </w:p>
        </w:tc>
      </w:tr>
    </w:tbl>
    <w:p w14:paraId="67F5CAC9" w14:textId="77777777" w:rsidR="0060578E" w:rsidRPr="00EC2BCC" w:rsidRDefault="0060578E" w:rsidP="0060578E">
      <w:pPr>
        <w:spacing w:line="360" w:lineRule="auto"/>
        <w:rPr>
          <w:rFonts w:cs="Times New Roman"/>
          <w:szCs w:val="20"/>
        </w:rPr>
      </w:pPr>
      <w:r w:rsidRPr="00EC2BCC">
        <w:rPr>
          <w:rFonts w:cs="Times New Roman"/>
          <w:szCs w:val="20"/>
          <w:lang w:val="en"/>
        </w:rPr>
        <w:t>* Significant at .05 level</w:t>
      </w:r>
    </w:p>
    <w:p w14:paraId="5B71631A" w14:textId="77777777" w:rsidR="0060578E" w:rsidRPr="00EC2BCC" w:rsidRDefault="0060578E" w:rsidP="0060578E">
      <w:pPr>
        <w:spacing w:line="360" w:lineRule="auto"/>
        <w:rPr>
          <w:rFonts w:cs="Times New Roman"/>
          <w:szCs w:val="20"/>
        </w:rPr>
      </w:pPr>
      <w:r w:rsidRPr="00EC2BCC">
        <w:rPr>
          <w:rFonts w:cs="Times New Roman"/>
          <w:szCs w:val="20"/>
          <w:lang w:val="en"/>
        </w:rPr>
        <w:t>** Significant at .01 level</w:t>
      </w:r>
    </w:p>
    <w:p w14:paraId="33127EC2" w14:textId="78A2E710" w:rsidR="000E13E2" w:rsidRPr="00413064" w:rsidRDefault="0060578E" w:rsidP="00413064">
      <w:pPr>
        <w:pStyle w:val="NormalWeb"/>
        <w:spacing w:line="360" w:lineRule="auto"/>
        <w:jc w:val="both"/>
        <w:rPr>
          <w:sz w:val="20"/>
          <w:szCs w:val="20"/>
        </w:rPr>
      </w:pPr>
      <w:r w:rsidRPr="00EC2BCC">
        <w:rPr>
          <w:sz w:val="20"/>
          <w:szCs w:val="20"/>
          <w:lang w:val="en"/>
        </w:rPr>
        <w:t xml:space="preserve">As given in Table 11, as an outcome of Pearson correlation analysis applied to clarify relationships between vitality of visual imagery, undergraduate achievement grade and learning styles, it was observed that the positive low correlation exists among vitality score of visual imagery and undergraduate achievement grade (r = </w:t>
      </w:r>
      <w:r w:rsidRPr="00EC2BCC">
        <w:rPr>
          <w:sz w:val="20"/>
          <w:szCs w:val="20"/>
          <w:lang w:val="en"/>
        </w:rPr>
        <w:lastRenderedPageBreak/>
        <w:t xml:space="preserve">.147) and the mental model factor score in learning (r = .127) at the level of .05 significance. However, relationships have also been identified between the LSs. Positive direction moderate correlation exists among process strategies and regulation strategies (r = .696) at the level of .01 significance, a positive direction low correlation between the mental model in learning (r = .204) at the level of .01 significance and a positive direction low correlation between learning orientations (r = .142) at the level of .05 significance. There was a positive direction and low correlation among regulation strategies and mental model in learning (r = .397) at the significance level of .01 and the positive moderate correlation between the learning orientations (r = .560) at the level of .01. A low positive correlation was found between the mental model in learning and learning orientations (r = 363) at the .01 significance level. </w:t>
      </w:r>
    </w:p>
    <w:p w14:paraId="1C5D98E5" w14:textId="1C874208" w:rsidR="00176378" w:rsidRPr="00413064" w:rsidRDefault="0061751E" w:rsidP="00D6757F">
      <w:pPr>
        <w:widowControl w:val="0"/>
        <w:spacing w:line="360" w:lineRule="auto"/>
        <w:rPr>
          <w:b/>
          <w:sz w:val="24"/>
        </w:rPr>
      </w:pPr>
      <w:r w:rsidRPr="0014546C">
        <w:rPr>
          <w:b/>
          <w:sz w:val="24"/>
          <w:szCs w:val="24"/>
        </w:rPr>
        <w:t>Discussion</w:t>
      </w:r>
      <w:r w:rsidR="0060578E">
        <w:rPr>
          <w:b/>
          <w:sz w:val="24"/>
          <w:szCs w:val="24"/>
        </w:rPr>
        <w:t xml:space="preserve"> and </w:t>
      </w:r>
      <w:r w:rsidR="0060578E" w:rsidRPr="006E5717">
        <w:rPr>
          <w:b/>
          <w:sz w:val="24"/>
        </w:rPr>
        <w:t xml:space="preserve">Conclusion </w:t>
      </w:r>
    </w:p>
    <w:p w14:paraId="4D6211E6" w14:textId="77777777" w:rsidR="007E2CFC" w:rsidRPr="007E2CFC" w:rsidRDefault="0060578E" w:rsidP="0060578E">
      <w:pPr>
        <w:pStyle w:val="NormalWeb"/>
        <w:spacing w:line="360" w:lineRule="auto"/>
        <w:jc w:val="both"/>
        <w:rPr>
          <w:color w:val="000000" w:themeColor="text1"/>
          <w:sz w:val="20"/>
          <w:szCs w:val="20"/>
          <w:lang w:val="en-US"/>
        </w:rPr>
      </w:pPr>
      <w:r w:rsidRPr="00EC2BCC">
        <w:rPr>
          <w:sz w:val="20"/>
          <w:szCs w:val="20"/>
          <w:lang w:val="en"/>
        </w:rPr>
        <w:t xml:space="preserve">This study was conducted to reveal whether aphantasia </w:t>
      </w:r>
      <w:proofErr w:type="gramStart"/>
      <w:r w:rsidRPr="00EC2BCC">
        <w:rPr>
          <w:sz w:val="20"/>
          <w:szCs w:val="20"/>
          <w:lang w:val="en"/>
        </w:rPr>
        <w:t>has an effect on</w:t>
      </w:r>
      <w:proofErr w:type="gramEnd"/>
      <w:r w:rsidRPr="00EC2BCC">
        <w:rPr>
          <w:sz w:val="20"/>
          <w:szCs w:val="20"/>
          <w:lang w:val="en"/>
        </w:rPr>
        <w:t xml:space="preserve"> learning styles and academic achievement. The Vitality of Visual Images Scale was applied to individuals who defined themselves as </w:t>
      </w:r>
      <w:proofErr w:type="spellStart"/>
      <w:r w:rsidRPr="00EC2BCC">
        <w:rPr>
          <w:sz w:val="20"/>
          <w:szCs w:val="20"/>
        </w:rPr>
        <w:t>aphantasic</w:t>
      </w:r>
      <w:proofErr w:type="spellEnd"/>
      <w:r w:rsidRPr="00EC2BCC">
        <w:rPr>
          <w:sz w:val="20"/>
          <w:szCs w:val="20"/>
          <w:lang w:val="en"/>
        </w:rPr>
        <w:t xml:space="preserve"> and did not identify themselves on the internet, and those who scored 16 on the scale were categorized as </w:t>
      </w:r>
      <w:proofErr w:type="spellStart"/>
      <w:r w:rsidRPr="00EC2BCC">
        <w:rPr>
          <w:sz w:val="20"/>
          <w:szCs w:val="20"/>
        </w:rPr>
        <w:t>aphantasic</w:t>
      </w:r>
      <w:proofErr w:type="spellEnd"/>
      <w:r w:rsidRPr="00EC2BCC">
        <w:rPr>
          <w:sz w:val="20"/>
          <w:szCs w:val="20"/>
          <w:lang w:val="en"/>
        </w:rPr>
        <w:t xml:space="preserve">. These two separate groups were given </w:t>
      </w:r>
      <w:proofErr w:type="spellStart"/>
      <w:r w:rsidRPr="00EC2BCC">
        <w:rPr>
          <w:sz w:val="20"/>
          <w:szCs w:val="20"/>
          <w:lang w:val="en"/>
        </w:rPr>
        <w:t>Vermunt's</w:t>
      </w:r>
      <w:proofErr w:type="spellEnd"/>
      <w:r w:rsidRPr="00EC2BCC">
        <w:rPr>
          <w:sz w:val="20"/>
          <w:szCs w:val="20"/>
          <w:lang w:val="en"/>
        </w:rPr>
        <w:t xml:space="preserve"> Inventory of Learning Styles and were additionally asked questions about their academic </w:t>
      </w:r>
      <w:proofErr w:type="spellStart"/>
      <w:proofErr w:type="gramStart"/>
      <w:r w:rsidRPr="00EC2BCC">
        <w:rPr>
          <w:sz w:val="20"/>
          <w:szCs w:val="20"/>
          <w:lang w:val="en"/>
        </w:rPr>
        <w:t>achievements.The</w:t>
      </w:r>
      <w:proofErr w:type="spellEnd"/>
      <w:proofErr w:type="gramEnd"/>
      <w:r w:rsidRPr="00EC2BCC">
        <w:rPr>
          <w:sz w:val="20"/>
          <w:szCs w:val="20"/>
          <w:lang w:val="en"/>
        </w:rPr>
        <w:t xml:space="preserve"> scores of the participants regarding the learning orientations they received from the scale differed statistically significantly according to the level of vividness of the visual image. Scores for other sub-dimensions on the learning styles scale are not affected by the level of vividness of the visual image. The subcategory Learning Orientations has 5 sub-dimensions. These are listed as individual interest, approved purpose, self-test oriented, profession-oriented and undecided. When the data of the responses of individuals with and without </w:t>
      </w:r>
      <w:proofErr w:type="spellStart"/>
      <w:r w:rsidRPr="00EC2BCC">
        <w:rPr>
          <w:sz w:val="20"/>
          <w:szCs w:val="20"/>
          <w:lang w:val="en"/>
        </w:rPr>
        <w:t>aphane</w:t>
      </w:r>
      <w:proofErr w:type="spellEnd"/>
      <w:r w:rsidRPr="00EC2BCC">
        <w:rPr>
          <w:sz w:val="20"/>
          <w:szCs w:val="20"/>
          <w:lang w:val="en"/>
        </w:rPr>
        <w:t xml:space="preserve"> to the subcategory of learning orientations are examined, there is more difference in 2 sub-dimensions than in other dimensions. The average of responses to the sub-dimension of approved purpose is higher for people with </w:t>
      </w:r>
      <w:proofErr w:type="spellStart"/>
      <w:r w:rsidRPr="00EC2BCC">
        <w:rPr>
          <w:sz w:val="20"/>
          <w:szCs w:val="20"/>
        </w:rPr>
        <w:t>aphantasic</w:t>
      </w:r>
      <w:proofErr w:type="spellEnd"/>
      <w:r w:rsidRPr="00EC2BCC">
        <w:rPr>
          <w:sz w:val="20"/>
          <w:szCs w:val="20"/>
          <w:lang w:val="en"/>
        </w:rPr>
        <w:t xml:space="preserve"> than for non-</w:t>
      </w:r>
      <w:proofErr w:type="spellStart"/>
      <w:r w:rsidRPr="00EC2BCC">
        <w:rPr>
          <w:sz w:val="20"/>
          <w:szCs w:val="20"/>
        </w:rPr>
        <w:t>aphantasic</w:t>
      </w:r>
      <w:proofErr w:type="spellEnd"/>
      <w:r w:rsidRPr="00EC2BCC">
        <w:rPr>
          <w:sz w:val="20"/>
          <w:szCs w:val="20"/>
          <w:lang w:val="en"/>
        </w:rPr>
        <w:t xml:space="preserve"> people. According to this result, it can be said that the learning orientations of the people who are </w:t>
      </w:r>
      <w:proofErr w:type="spellStart"/>
      <w:r w:rsidRPr="00EC2BCC">
        <w:rPr>
          <w:sz w:val="20"/>
          <w:szCs w:val="20"/>
        </w:rPr>
        <w:t>aphantasic</w:t>
      </w:r>
      <w:proofErr w:type="spellEnd"/>
      <w:r w:rsidRPr="00EC2BCC">
        <w:rPr>
          <w:sz w:val="20"/>
          <w:szCs w:val="20"/>
          <w:lang w:val="en"/>
        </w:rPr>
        <w:t xml:space="preserve"> for the study group are more for the approved purpose than for the non-</w:t>
      </w:r>
      <w:proofErr w:type="spellStart"/>
      <w:r w:rsidRPr="00EC2BCC">
        <w:rPr>
          <w:sz w:val="20"/>
          <w:szCs w:val="20"/>
        </w:rPr>
        <w:t>aphantasic</w:t>
      </w:r>
      <w:proofErr w:type="spellEnd"/>
      <w:r w:rsidRPr="00EC2BCC">
        <w:rPr>
          <w:sz w:val="20"/>
          <w:szCs w:val="20"/>
          <w:lang w:val="en"/>
        </w:rPr>
        <w:t xml:space="preserve"> people. Also, according to the outcomes of investigation, it can be concluded that people who are </w:t>
      </w:r>
      <w:proofErr w:type="spellStart"/>
      <w:r w:rsidRPr="00EC2BCC">
        <w:rPr>
          <w:sz w:val="20"/>
          <w:szCs w:val="20"/>
        </w:rPr>
        <w:t>aphantasic</w:t>
      </w:r>
      <w:proofErr w:type="spellEnd"/>
      <w:r w:rsidRPr="00EC2BCC">
        <w:rPr>
          <w:sz w:val="20"/>
          <w:szCs w:val="20"/>
          <w:lang w:val="en"/>
        </w:rPr>
        <w:t xml:space="preserve"> are more professionally oriented than non-</w:t>
      </w:r>
      <w:proofErr w:type="spellStart"/>
      <w:r w:rsidRPr="00EC2BCC">
        <w:rPr>
          <w:sz w:val="20"/>
          <w:szCs w:val="20"/>
        </w:rPr>
        <w:t>aphantasic</w:t>
      </w:r>
      <w:proofErr w:type="spellEnd"/>
      <w:r w:rsidRPr="00EC2BCC">
        <w:rPr>
          <w:sz w:val="20"/>
          <w:szCs w:val="20"/>
          <w:lang w:val="en"/>
        </w:rPr>
        <w:t xml:space="preserve"> people. </w:t>
      </w:r>
      <w:r w:rsidR="007E2CFC" w:rsidRPr="007E2CFC">
        <w:rPr>
          <w:color w:val="000000" w:themeColor="text1"/>
          <w:sz w:val="20"/>
          <w:szCs w:val="20"/>
          <w:lang w:val="en-US"/>
        </w:rPr>
        <w:t>Despite these results, Liu &amp; Bartolomeo (2023) found in their study that people with aphantasic process information more slowly. It is thought that these differences in the results may be due to the smaller sample in the current study. However, the results are consistent with the conclusion of Keogh et al. (2021), who studied memory, that there was no significant difference between aphantasic and non-aphantasic individuals.</w:t>
      </w:r>
    </w:p>
    <w:p w14:paraId="2FEC8699" w14:textId="76B7BB93" w:rsidR="0060578E" w:rsidRPr="00EC2BCC" w:rsidRDefault="0060578E" w:rsidP="0060578E">
      <w:pPr>
        <w:pStyle w:val="NormalWeb"/>
        <w:spacing w:line="360" w:lineRule="auto"/>
        <w:jc w:val="both"/>
        <w:rPr>
          <w:sz w:val="20"/>
          <w:szCs w:val="20"/>
        </w:rPr>
      </w:pPr>
      <w:r w:rsidRPr="00EC2BCC">
        <w:rPr>
          <w:sz w:val="20"/>
          <w:szCs w:val="20"/>
          <w:lang w:val="en"/>
        </w:rPr>
        <w:t xml:space="preserve">When the effect of the vividness variable of visual imagination on the undergraduate success grade is examined, it is seen that the undergraduate average of </w:t>
      </w:r>
      <w:proofErr w:type="spellStart"/>
      <w:r w:rsidRPr="00EC2BCC">
        <w:rPr>
          <w:sz w:val="20"/>
          <w:szCs w:val="20"/>
        </w:rPr>
        <w:t>aphantasic</w:t>
      </w:r>
      <w:proofErr w:type="spellEnd"/>
      <w:r w:rsidRPr="00EC2BCC">
        <w:rPr>
          <w:sz w:val="20"/>
          <w:szCs w:val="20"/>
          <w:lang w:val="en"/>
        </w:rPr>
        <w:t xml:space="preserve"> people is statistically higher than that of non-aphantasic people. Bates (2021) stated that </w:t>
      </w:r>
      <w:proofErr w:type="spellStart"/>
      <w:r w:rsidRPr="00EC2BCC">
        <w:rPr>
          <w:sz w:val="20"/>
          <w:szCs w:val="20"/>
        </w:rPr>
        <w:t>aphantasic</w:t>
      </w:r>
      <w:proofErr w:type="spellEnd"/>
      <w:r w:rsidRPr="00EC2BCC">
        <w:rPr>
          <w:sz w:val="20"/>
          <w:szCs w:val="20"/>
          <w:lang w:val="en"/>
        </w:rPr>
        <w:t xml:space="preserve"> individuals can lead to alternative strategies that improve rather than inhibit learning. According to the results of the research, this result is in parallel with the result reached by Bates. However, Sadoski does not parallel Goetz &amp; </w:t>
      </w:r>
      <w:proofErr w:type="spellStart"/>
      <w:r w:rsidRPr="00EC2BCC">
        <w:rPr>
          <w:sz w:val="20"/>
          <w:szCs w:val="20"/>
          <w:lang w:val="en"/>
        </w:rPr>
        <w:t>Kangiser</w:t>
      </w:r>
      <w:proofErr w:type="spellEnd"/>
      <w:r w:rsidRPr="00EC2BCC">
        <w:rPr>
          <w:sz w:val="20"/>
          <w:szCs w:val="20"/>
          <w:lang w:val="en"/>
        </w:rPr>
        <w:t xml:space="preserve"> (1988) to his work in which he states that creating visual images while reading a text helps with comprehension and remembering, and that reading comprehension and school achievement are strongly correlated. According to the results of the study, people who cannot make visual imagery have more academic achievement, even if it is a low rate, than people who can make visual </w:t>
      </w:r>
      <w:r w:rsidRPr="00EC2BCC">
        <w:rPr>
          <w:sz w:val="20"/>
          <w:szCs w:val="20"/>
          <w:lang w:val="en"/>
        </w:rPr>
        <w:lastRenderedPageBreak/>
        <w:t xml:space="preserve">imagery. </w:t>
      </w:r>
      <w:r w:rsidR="007E2CFC" w:rsidRPr="007E2CFC">
        <w:rPr>
          <w:color w:val="000000" w:themeColor="text1"/>
          <w:sz w:val="20"/>
          <w:szCs w:val="20"/>
          <w:lang w:val="en-US"/>
        </w:rPr>
        <w:t xml:space="preserve">Kay et al. (2024) stated that visual images are not very important in mental performance between aphantasic and non-aphantasic students, </w:t>
      </w:r>
      <w:proofErr w:type="gramStart"/>
      <w:r w:rsidR="007E2CFC" w:rsidRPr="007E2CFC">
        <w:rPr>
          <w:color w:val="000000" w:themeColor="text1"/>
          <w:sz w:val="20"/>
          <w:szCs w:val="20"/>
          <w:lang w:val="en-US"/>
        </w:rPr>
        <w:t>similar to</w:t>
      </w:r>
      <w:proofErr w:type="gramEnd"/>
      <w:r w:rsidR="007E2CFC" w:rsidRPr="007E2CFC">
        <w:rPr>
          <w:color w:val="000000" w:themeColor="text1"/>
          <w:sz w:val="20"/>
          <w:szCs w:val="20"/>
          <w:lang w:val="en-US"/>
        </w:rPr>
        <w:t xml:space="preserve"> this result</w:t>
      </w:r>
      <w:r w:rsidR="007E2CFC" w:rsidRPr="007E2CFC">
        <w:rPr>
          <w:color w:val="000000" w:themeColor="text1"/>
          <w:sz w:val="20"/>
          <w:szCs w:val="20"/>
          <w:lang w:val="en-US"/>
        </w:rPr>
        <w:t xml:space="preserve">. </w:t>
      </w:r>
      <w:r w:rsidRPr="00EC2BCC">
        <w:rPr>
          <w:sz w:val="20"/>
          <w:szCs w:val="20"/>
          <w:lang w:val="en"/>
        </w:rPr>
        <w:t xml:space="preserve">In short, according to these studies, it can be concluded that high visual imagination does not have a positive effect on academic achievement. No relationship has been identified between perceived success and the variable of the vitality of the visual image. According to the result obtained, the vitality of the visual imagination has no effect on whether individuals see themselves as successful or not. When the relationships between the vitality of visual imagery, undergraduate achievement grade and learning styles were examined, a positive low relationship was observed between the vitality score of visual imagery and the undergraduate achievement grade and the mental model factor score in </w:t>
      </w:r>
      <w:proofErr w:type="gramStart"/>
      <w:r w:rsidRPr="00EC2BCC">
        <w:rPr>
          <w:sz w:val="20"/>
          <w:szCs w:val="20"/>
          <w:lang w:val="en"/>
        </w:rPr>
        <w:t>learning .</w:t>
      </w:r>
      <w:proofErr w:type="gramEnd"/>
      <w:r w:rsidRPr="00EC2BCC">
        <w:rPr>
          <w:sz w:val="20"/>
          <w:szCs w:val="20"/>
          <w:lang w:val="en"/>
        </w:rPr>
        <w:t xml:space="preserve"> In addition, relationships have been identified between learning styles. A positive moderate relationship was found between process strategies and regulation strategies. There was a positive direction and low correlation among mental model in </w:t>
      </w:r>
      <w:proofErr w:type="gramStart"/>
      <w:r w:rsidRPr="00EC2BCC">
        <w:rPr>
          <w:sz w:val="20"/>
          <w:szCs w:val="20"/>
          <w:lang w:val="en"/>
        </w:rPr>
        <w:t>learning  and</w:t>
      </w:r>
      <w:proofErr w:type="gramEnd"/>
      <w:r w:rsidRPr="00EC2BCC">
        <w:rPr>
          <w:sz w:val="20"/>
          <w:szCs w:val="20"/>
          <w:lang w:val="en"/>
        </w:rPr>
        <w:t xml:space="preserve"> a positive direction low correlation between learning orientations. There was a positive direction and low correlation among regulation strategies and mental model in learning and the positive moderate correlation between the learning orientations. A low positive correlation was found between the mental model in learning and learning orientations. </w:t>
      </w:r>
      <w:r w:rsidR="007E2CFC" w:rsidRPr="007E2CFC">
        <w:rPr>
          <w:sz w:val="20"/>
          <w:szCs w:val="20"/>
          <w:lang w:val="en-US"/>
        </w:rPr>
        <w:t xml:space="preserve">Westby (2024) stated that children with </w:t>
      </w:r>
      <w:proofErr w:type="spellStart"/>
      <w:r w:rsidR="007E2CFC" w:rsidRPr="007E2CFC">
        <w:rPr>
          <w:sz w:val="20"/>
          <w:szCs w:val="20"/>
          <w:lang w:val="en-US"/>
        </w:rPr>
        <w:t>afantasia</w:t>
      </w:r>
      <w:proofErr w:type="spellEnd"/>
      <w:r w:rsidR="007E2CFC" w:rsidRPr="007E2CFC">
        <w:rPr>
          <w:sz w:val="20"/>
          <w:szCs w:val="20"/>
          <w:lang w:val="en-US"/>
        </w:rPr>
        <w:t xml:space="preserve"> will have difficulty in learning </w:t>
      </w:r>
      <w:proofErr w:type="gramStart"/>
      <w:r w:rsidR="007E2CFC" w:rsidRPr="007E2CFC">
        <w:rPr>
          <w:sz w:val="20"/>
          <w:szCs w:val="20"/>
          <w:lang w:val="en-US"/>
        </w:rPr>
        <w:t>as a result of</w:t>
      </w:r>
      <w:proofErr w:type="gramEnd"/>
      <w:r w:rsidR="007E2CFC" w:rsidRPr="007E2CFC">
        <w:rPr>
          <w:sz w:val="20"/>
          <w:szCs w:val="20"/>
          <w:lang w:val="en-US"/>
        </w:rPr>
        <w:t xml:space="preserve"> what is learned in this direction consists of visual images.</w:t>
      </w:r>
    </w:p>
    <w:p w14:paraId="66FC9004" w14:textId="1FF4696F" w:rsidR="0061751E" w:rsidRDefault="0060578E" w:rsidP="0060578E">
      <w:pPr>
        <w:widowControl w:val="0"/>
        <w:spacing w:line="360" w:lineRule="auto"/>
        <w:rPr>
          <w:szCs w:val="20"/>
          <w:lang w:val="en"/>
        </w:rPr>
      </w:pPr>
      <w:r w:rsidRPr="00EC2BCC">
        <w:rPr>
          <w:szCs w:val="20"/>
          <w:lang w:val="en"/>
        </w:rPr>
        <w:t xml:space="preserve">According to the findings obtained from the study, there are significant differences in the personality characteristics of the participants with and without aphantasia in some imagery sub-dimensions according to demographic variables. When the literature is examined, there is no research to examine the level of imagination in terms of learning styles and academic success. Therefore, it is thought that the studies to be carried out by expanding the scope with different sample groups will contribute to </w:t>
      </w:r>
      <w:r w:rsidRPr="00EC2BCC">
        <w:rPr>
          <w:szCs w:val="20"/>
        </w:rPr>
        <w:t>aphantasic</w:t>
      </w:r>
      <w:r w:rsidRPr="00EC2BCC">
        <w:rPr>
          <w:szCs w:val="20"/>
          <w:lang w:val="en"/>
        </w:rPr>
        <w:t xml:space="preserve"> individuals, students and educators with this research. In the light of this study and similar studies, emphasizing the importance of imagination and creating awareness of the potential to contribute to academic development is of great importance in the field of educational sciences.</w:t>
      </w:r>
    </w:p>
    <w:p w14:paraId="118A775C" w14:textId="77777777" w:rsidR="0060578E" w:rsidRPr="006E5717" w:rsidRDefault="0060578E" w:rsidP="0060578E">
      <w:pPr>
        <w:widowControl w:val="0"/>
        <w:spacing w:line="360" w:lineRule="auto"/>
      </w:pPr>
    </w:p>
    <w:p w14:paraId="30E64334" w14:textId="0BFCF212" w:rsidR="00176378" w:rsidRPr="00413064" w:rsidRDefault="0061751E" w:rsidP="00D6757F">
      <w:pPr>
        <w:widowControl w:val="0"/>
        <w:spacing w:line="360" w:lineRule="auto"/>
        <w:rPr>
          <w:b/>
        </w:rPr>
      </w:pPr>
      <w:r w:rsidRPr="006E5717">
        <w:rPr>
          <w:b/>
          <w:sz w:val="24"/>
        </w:rPr>
        <w:t>Recommendations</w:t>
      </w:r>
    </w:p>
    <w:p w14:paraId="2F83AD4D" w14:textId="77777777" w:rsidR="0060578E" w:rsidRPr="00EC2BCC" w:rsidRDefault="0060578E" w:rsidP="0060578E">
      <w:pPr>
        <w:pStyle w:val="NormalWeb"/>
        <w:spacing w:line="360" w:lineRule="auto"/>
        <w:jc w:val="both"/>
        <w:rPr>
          <w:sz w:val="20"/>
          <w:szCs w:val="20"/>
        </w:rPr>
      </w:pPr>
      <w:r w:rsidRPr="00EC2BCC">
        <w:rPr>
          <w:sz w:val="20"/>
          <w:szCs w:val="20"/>
          <w:lang w:val="en"/>
        </w:rPr>
        <w:t xml:space="preserve">The following suggestions are provided in accordance with the findings of the study and their interpretations. </w:t>
      </w:r>
    </w:p>
    <w:p w14:paraId="699C261B" w14:textId="64E9D569" w:rsidR="0060578E" w:rsidRPr="00EC2BCC" w:rsidRDefault="0060578E" w:rsidP="0060578E">
      <w:pPr>
        <w:pStyle w:val="NormalWeb"/>
        <w:spacing w:line="360" w:lineRule="auto"/>
        <w:jc w:val="both"/>
        <w:rPr>
          <w:sz w:val="20"/>
          <w:szCs w:val="20"/>
        </w:rPr>
      </w:pPr>
      <w:r w:rsidRPr="00EC2BCC">
        <w:rPr>
          <w:b/>
          <w:bCs/>
          <w:sz w:val="20"/>
          <w:szCs w:val="20"/>
          <w:lang w:val="en"/>
        </w:rPr>
        <w:t>Recommendations for research results</w:t>
      </w:r>
    </w:p>
    <w:p w14:paraId="266ED06C" w14:textId="77777777" w:rsidR="0060578E" w:rsidRPr="00EC2BCC" w:rsidRDefault="0060578E" w:rsidP="0060578E">
      <w:pPr>
        <w:pStyle w:val="NormalWeb"/>
        <w:numPr>
          <w:ilvl w:val="0"/>
          <w:numId w:val="1"/>
        </w:numPr>
        <w:spacing w:line="360" w:lineRule="auto"/>
        <w:jc w:val="both"/>
        <w:rPr>
          <w:sz w:val="20"/>
          <w:szCs w:val="20"/>
        </w:rPr>
      </w:pPr>
      <w:r w:rsidRPr="00EC2BCC">
        <w:rPr>
          <w:sz w:val="20"/>
          <w:szCs w:val="20"/>
          <w:lang w:val="en"/>
        </w:rPr>
        <w:t xml:space="preserve">The impact of </w:t>
      </w:r>
      <w:proofErr w:type="spellStart"/>
      <w:r w:rsidRPr="00EC2BCC">
        <w:rPr>
          <w:sz w:val="20"/>
          <w:szCs w:val="20"/>
        </w:rPr>
        <w:t>aphantasic</w:t>
      </w:r>
      <w:proofErr w:type="spellEnd"/>
      <w:r w:rsidRPr="00EC2BCC">
        <w:rPr>
          <w:sz w:val="20"/>
          <w:szCs w:val="20"/>
          <w:lang w:val="en"/>
        </w:rPr>
        <w:t xml:space="preserve"> on learning styles should be considered more comprehensively. </w:t>
      </w:r>
    </w:p>
    <w:p w14:paraId="043E8752" w14:textId="77777777" w:rsidR="0060578E" w:rsidRPr="00EC2BCC" w:rsidRDefault="0060578E" w:rsidP="0060578E">
      <w:pPr>
        <w:pStyle w:val="NormalWeb"/>
        <w:numPr>
          <w:ilvl w:val="0"/>
          <w:numId w:val="1"/>
        </w:numPr>
        <w:spacing w:line="360" w:lineRule="auto"/>
        <w:jc w:val="both"/>
        <w:rPr>
          <w:sz w:val="20"/>
          <w:szCs w:val="20"/>
        </w:rPr>
      </w:pPr>
      <w:r w:rsidRPr="00EC2BCC">
        <w:rPr>
          <w:sz w:val="20"/>
          <w:szCs w:val="20"/>
          <w:lang w:val="en"/>
        </w:rPr>
        <w:t xml:space="preserve">Role of different variables in influence of visual imagery skills on academic achievement can be examined. </w:t>
      </w:r>
    </w:p>
    <w:p w14:paraId="6DD9FE39" w14:textId="77777777" w:rsidR="0060578E" w:rsidRPr="00EC2BCC" w:rsidRDefault="0060578E" w:rsidP="0060578E">
      <w:pPr>
        <w:pStyle w:val="NormalWeb"/>
        <w:numPr>
          <w:ilvl w:val="0"/>
          <w:numId w:val="1"/>
        </w:numPr>
        <w:spacing w:line="360" w:lineRule="auto"/>
        <w:jc w:val="both"/>
        <w:rPr>
          <w:sz w:val="20"/>
          <w:szCs w:val="20"/>
        </w:rPr>
      </w:pPr>
      <w:r w:rsidRPr="00EC2BCC">
        <w:rPr>
          <w:sz w:val="20"/>
          <w:szCs w:val="20"/>
          <w:lang w:val="en"/>
        </w:rPr>
        <w:t xml:space="preserve">Studies to be carried out by expanding the scope with different sample groups can contribute to </w:t>
      </w:r>
      <w:proofErr w:type="spellStart"/>
      <w:r w:rsidRPr="00EC2BCC">
        <w:rPr>
          <w:sz w:val="20"/>
          <w:szCs w:val="20"/>
        </w:rPr>
        <w:t>aphantasic</w:t>
      </w:r>
      <w:proofErr w:type="spellEnd"/>
      <w:r w:rsidRPr="00EC2BCC">
        <w:rPr>
          <w:sz w:val="20"/>
          <w:szCs w:val="20"/>
          <w:lang w:val="en"/>
        </w:rPr>
        <w:t xml:space="preserve"> individuals, students and educators with this research. </w:t>
      </w:r>
    </w:p>
    <w:p w14:paraId="5EFABBB4" w14:textId="77777777" w:rsidR="0060578E" w:rsidRPr="00EC2BCC" w:rsidRDefault="0060578E" w:rsidP="0060578E">
      <w:pPr>
        <w:pStyle w:val="NormalWeb"/>
        <w:numPr>
          <w:ilvl w:val="0"/>
          <w:numId w:val="1"/>
        </w:numPr>
        <w:spacing w:line="360" w:lineRule="auto"/>
        <w:jc w:val="both"/>
        <w:rPr>
          <w:sz w:val="20"/>
          <w:szCs w:val="20"/>
        </w:rPr>
      </w:pPr>
      <w:r w:rsidRPr="00EC2BCC">
        <w:rPr>
          <w:sz w:val="20"/>
          <w:szCs w:val="20"/>
          <w:lang w:val="en"/>
        </w:rPr>
        <w:t xml:space="preserve">Experiments can be made for its use in the field of guidance. </w:t>
      </w:r>
    </w:p>
    <w:p w14:paraId="53FFD0EA" w14:textId="77777777" w:rsidR="0060578E" w:rsidRPr="00EC2BCC" w:rsidRDefault="0060578E" w:rsidP="0060578E">
      <w:pPr>
        <w:pStyle w:val="NormalWeb"/>
        <w:numPr>
          <w:ilvl w:val="0"/>
          <w:numId w:val="1"/>
        </w:numPr>
        <w:spacing w:line="360" w:lineRule="auto"/>
        <w:jc w:val="both"/>
        <w:rPr>
          <w:sz w:val="20"/>
          <w:szCs w:val="20"/>
        </w:rPr>
      </w:pPr>
      <w:r w:rsidRPr="00EC2BCC">
        <w:rPr>
          <w:sz w:val="20"/>
          <w:szCs w:val="20"/>
          <w:lang w:val="en"/>
        </w:rPr>
        <w:t>The sample and study groups can be expanded and repeated.</w:t>
      </w:r>
    </w:p>
    <w:p w14:paraId="17FE89C3" w14:textId="3DA54B7B" w:rsidR="0060578E" w:rsidRPr="00EC2BCC" w:rsidRDefault="0060578E" w:rsidP="0060578E">
      <w:pPr>
        <w:pStyle w:val="NormalWeb"/>
        <w:spacing w:line="360" w:lineRule="auto"/>
        <w:jc w:val="both"/>
        <w:rPr>
          <w:sz w:val="20"/>
          <w:szCs w:val="20"/>
        </w:rPr>
      </w:pPr>
      <w:r w:rsidRPr="00EC2BCC">
        <w:rPr>
          <w:b/>
          <w:bCs/>
          <w:sz w:val="20"/>
          <w:szCs w:val="20"/>
          <w:lang w:val="en"/>
        </w:rPr>
        <w:t>Recommendations for educational practitioners</w:t>
      </w:r>
    </w:p>
    <w:p w14:paraId="1AF7AEC5" w14:textId="77777777" w:rsidR="0060578E" w:rsidRPr="00EC2BCC" w:rsidRDefault="0060578E" w:rsidP="0060578E">
      <w:pPr>
        <w:pStyle w:val="NormalWeb"/>
        <w:numPr>
          <w:ilvl w:val="0"/>
          <w:numId w:val="2"/>
        </w:numPr>
        <w:spacing w:line="360" w:lineRule="auto"/>
        <w:jc w:val="both"/>
        <w:rPr>
          <w:sz w:val="20"/>
          <w:szCs w:val="20"/>
        </w:rPr>
      </w:pPr>
      <w:r w:rsidRPr="00EC2BCC">
        <w:rPr>
          <w:sz w:val="20"/>
          <w:szCs w:val="20"/>
          <w:lang w:val="en"/>
        </w:rPr>
        <w:lastRenderedPageBreak/>
        <w:t xml:space="preserve">Teachers should be aware of the personal characteristics of their students in their classrooms and shape them by considering these features in the entire teaching process. </w:t>
      </w:r>
    </w:p>
    <w:p w14:paraId="2AF8867F" w14:textId="77777777" w:rsidR="0060578E" w:rsidRPr="00EC2BCC" w:rsidRDefault="0060578E" w:rsidP="0060578E">
      <w:pPr>
        <w:pStyle w:val="NormalWeb"/>
        <w:numPr>
          <w:ilvl w:val="0"/>
          <w:numId w:val="2"/>
        </w:numPr>
        <w:spacing w:line="360" w:lineRule="auto"/>
        <w:jc w:val="both"/>
        <w:rPr>
          <w:sz w:val="20"/>
          <w:szCs w:val="20"/>
        </w:rPr>
      </w:pPr>
      <w:r w:rsidRPr="00EC2BCC">
        <w:rPr>
          <w:sz w:val="20"/>
          <w:szCs w:val="20"/>
          <w:lang w:val="en"/>
        </w:rPr>
        <w:t xml:space="preserve">Teachers should read the studies on this subject and arrange their lessons accordingly if their students cannot make visual imagery. </w:t>
      </w:r>
    </w:p>
    <w:p w14:paraId="1B4C8231" w14:textId="77777777" w:rsidR="0060578E" w:rsidRPr="00EC2BCC" w:rsidRDefault="0060578E" w:rsidP="0060578E">
      <w:pPr>
        <w:pStyle w:val="NormalWeb"/>
        <w:numPr>
          <w:ilvl w:val="0"/>
          <w:numId w:val="2"/>
        </w:numPr>
        <w:spacing w:line="360" w:lineRule="auto"/>
        <w:jc w:val="both"/>
        <w:rPr>
          <w:sz w:val="20"/>
          <w:szCs w:val="20"/>
        </w:rPr>
      </w:pPr>
      <w:r w:rsidRPr="00EC2BCC">
        <w:rPr>
          <w:sz w:val="20"/>
          <w:szCs w:val="20"/>
          <w:lang w:val="en"/>
        </w:rPr>
        <w:t>Teachers should know a student's learning style and keep track of how students call their learning.</w:t>
      </w:r>
    </w:p>
    <w:p w14:paraId="612B5349" w14:textId="0C0511F9" w:rsidR="0060578E" w:rsidRPr="00EC2BCC" w:rsidRDefault="0060578E" w:rsidP="0060578E">
      <w:pPr>
        <w:pStyle w:val="NormalWeb"/>
        <w:spacing w:line="360" w:lineRule="auto"/>
        <w:jc w:val="both"/>
        <w:rPr>
          <w:sz w:val="20"/>
          <w:szCs w:val="20"/>
        </w:rPr>
      </w:pPr>
      <w:r w:rsidRPr="00EC2BCC">
        <w:rPr>
          <w:b/>
          <w:bCs/>
          <w:sz w:val="20"/>
          <w:szCs w:val="20"/>
          <w:lang w:val="en"/>
        </w:rPr>
        <w:t>Recommendations for researchers</w:t>
      </w:r>
    </w:p>
    <w:p w14:paraId="56270E48" w14:textId="77777777" w:rsidR="0060578E" w:rsidRDefault="0060578E" w:rsidP="0060578E">
      <w:pPr>
        <w:pStyle w:val="NormalWeb"/>
        <w:spacing w:line="360" w:lineRule="auto"/>
        <w:jc w:val="both"/>
        <w:rPr>
          <w:sz w:val="20"/>
          <w:szCs w:val="20"/>
          <w:lang w:val="en"/>
        </w:rPr>
      </w:pPr>
      <w:r w:rsidRPr="00EC2BCC">
        <w:rPr>
          <w:sz w:val="20"/>
          <w:szCs w:val="20"/>
          <w:lang w:val="en"/>
        </w:rPr>
        <w:t xml:space="preserve">Aphantasia is a newly discovered concept and studies on this topic are limited in the literature. </w:t>
      </w:r>
      <w:proofErr w:type="gramStart"/>
      <w:r w:rsidRPr="00EC2BCC">
        <w:rPr>
          <w:sz w:val="20"/>
          <w:szCs w:val="20"/>
          <w:lang w:val="en"/>
        </w:rPr>
        <w:t>In particular, there</w:t>
      </w:r>
      <w:proofErr w:type="gramEnd"/>
      <w:r w:rsidRPr="00EC2BCC">
        <w:rPr>
          <w:sz w:val="20"/>
          <w:szCs w:val="20"/>
          <w:lang w:val="en"/>
        </w:rPr>
        <w:t xml:space="preserve"> are no studies on </w:t>
      </w:r>
      <w:proofErr w:type="spellStart"/>
      <w:r w:rsidRPr="00EC2BCC">
        <w:rPr>
          <w:sz w:val="20"/>
          <w:szCs w:val="20"/>
          <w:lang w:val="en"/>
        </w:rPr>
        <w:t>aphane</w:t>
      </w:r>
      <w:proofErr w:type="spellEnd"/>
      <w:r w:rsidRPr="00EC2BCC">
        <w:rPr>
          <w:sz w:val="20"/>
          <w:szCs w:val="20"/>
          <w:lang w:val="en"/>
        </w:rPr>
        <w:t xml:space="preserve"> and learning styles. Therefore, there is a need for researchers to be interested in this issue and to conduct in-depth research. This study was conducted online on higher education students and graduates. It can also be carried out in different age and educational groups and in other areas related to education. </w:t>
      </w:r>
    </w:p>
    <w:p w14:paraId="7314D796" w14:textId="77777777" w:rsidR="0061751E" w:rsidRPr="006E5717" w:rsidRDefault="0061751E" w:rsidP="00D6757F">
      <w:pPr>
        <w:widowControl w:val="0"/>
        <w:spacing w:line="360" w:lineRule="auto"/>
      </w:pPr>
    </w:p>
    <w:p w14:paraId="019F9254" w14:textId="77777777" w:rsidR="0061751E" w:rsidRPr="009B6AB6" w:rsidRDefault="0061751E" w:rsidP="00D6757F">
      <w:pPr>
        <w:widowControl w:val="0"/>
        <w:spacing w:line="360" w:lineRule="auto"/>
        <w:rPr>
          <w:b/>
        </w:rPr>
      </w:pPr>
      <w:r w:rsidRPr="006E5717">
        <w:rPr>
          <w:b/>
          <w:sz w:val="24"/>
        </w:rPr>
        <w:t>References</w:t>
      </w:r>
    </w:p>
    <w:p w14:paraId="3F8A13A0" w14:textId="77777777" w:rsidR="0061751E" w:rsidRDefault="0061751E" w:rsidP="00D6757F">
      <w:pPr>
        <w:widowControl w:val="0"/>
        <w:spacing w:line="360" w:lineRule="auto"/>
      </w:pPr>
    </w:p>
    <w:p w14:paraId="2AA2BE95" w14:textId="77777777" w:rsidR="0060578E" w:rsidRDefault="0060578E" w:rsidP="00D6757F">
      <w:pPr>
        <w:widowControl w:val="0"/>
        <w:spacing w:line="360" w:lineRule="auto"/>
        <w:ind w:left="720" w:hanging="720"/>
        <w:rPr>
          <w:szCs w:val="20"/>
          <w:lang w:eastAsia="tr-TR"/>
        </w:rPr>
      </w:pPr>
      <w:r w:rsidRPr="0060578E">
        <w:rPr>
          <w:szCs w:val="20"/>
          <w:lang w:eastAsia="tr-TR"/>
        </w:rPr>
        <w:t xml:space="preserve">Bainbridge, W. A., Pounder, Z., Eardley, A. F., and Baker, C. I. (2021). Quantifying aphantasia through drawing: Those without visual imagery show deficits in object but not spatial memory. </w:t>
      </w:r>
      <w:r w:rsidRPr="0060578E">
        <w:rPr>
          <w:i/>
          <w:iCs/>
          <w:szCs w:val="20"/>
          <w:lang w:eastAsia="tr-TR"/>
        </w:rPr>
        <w:t>Cortex</w:t>
      </w:r>
      <w:r w:rsidRPr="0060578E">
        <w:rPr>
          <w:szCs w:val="20"/>
          <w:lang w:eastAsia="tr-TR"/>
        </w:rPr>
        <w:t xml:space="preserve">, 135, 159172. </w:t>
      </w:r>
    </w:p>
    <w:p w14:paraId="46E5BB3B" w14:textId="428F3ABC" w:rsidR="0060578E" w:rsidRPr="0060578E" w:rsidRDefault="0060578E" w:rsidP="0060578E">
      <w:pPr>
        <w:widowControl w:val="0"/>
        <w:spacing w:line="360" w:lineRule="auto"/>
        <w:ind w:left="720" w:hanging="720"/>
        <w:rPr>
          <w:szCs w:val="20"/>
          <w:lang w:eastAsia="tr-TR"/>
        </w:rPr>
      </w:pPr>
      <w:r w:rsidRPr="0060578E">
        <w:rPr>
          <w:szCs w:val="20"/>
          <w:lang w:eastAsia="tr-TR"/>
        </w:rPr>
        <w:t>Bates, K. (</w:t>
      </w:r>
      <w:r w:rsidR="00794D7C" w:rsidRPr="0060578E">
        <w:rPr>
          <w:szCs w:val="20"/>
          <w:lang w:eastAsia="tr-TR"/>
        </w:rPr>
        <w:t>April 24, 2022</w:t>
      </w:r>
      <w:r w:rsidRPr="0060578E">
        <w:rPr>
          <w:szCs w:val="20"/>
          <w:lang w:eastAsia="tr-TR"/>
        </w:rPr>
        <w:t xml:space="preserve">). Some learners cannot </w:t>
      </w:r>
      <w:proofErr w:type="spellStart"/>
      <w:r w:rsidRPr="0060578E">
        <w:rPr>
          <w:szCs w:val="20"/>
          <w:lang w:eastAsia="tr-TR"/>
        </w:rPr>
        <w:t>visualise</w:t>
      </w:r>
      <w:proofErr w:type="spellEnd"/>
      <w:r w:rsidRPr="0060578E">
        <w:rPr>
          <w:szCs w:val="20"/>
          <w:lang w:eastAsia="tr-TR"/>
        </w:rPr>
        <w:t xml:space="preserve"> things in their mind's eye. </w:t>
      </w:r>
      <w:proofErr w:type="gramStart"/>
      <w:r w:rsidR="00794D7C" w:rsidRPr="00794D7C">
        <w:rPr>
          <w:i/>
          <w:iCs/>
          <w:szCs w:val="20"/>
          <w:lang w:eastAsia="tr-TR"/>
        </w:rPr>
        <w:t xml:space="preserve">In  </w:t>
      </w:r>
      <w:r w:rsidRPr="00794D7C">
        <w:rPr>
          <w:i/>
          <w:iCs/>
          <w:szCs w:val="20"/>
          <w:lang w:eastAsia="tr-TR"/>
        </w:rPr>
        <w:t>BOLD</w:t>
      </w:r>
      <w:proofErr w:type="gramEnd"/>
      <w:r w:rsidRPr="0060578E">
        <w:rPr>
          <w:szCs w:val="20"/>
          <w:lang w:eastAsia="tr-TR"/>
        </w:rPr>
        <w:t xml:space="preserve">. </w:t>
      </w:r>
      <w:hyperlink r:id="rId9" w:history="1">
        <w:r w:rsidR="00794D7C" w:rsidRPr="00FB1D09">
          <w:rPr>
            <w:rStyle w:val="Kpr"/>
            <w:szCs w:val="20"/>
            <w:lang w:eastAsia="tr-TR"/>
          </w:rPr>
          <w:t>https://bold.expert/somelearners-cannot-visualise-things-in-their-minds-eye/</w:t>
        </w:r>
      </w:hyperlink>
      <w:r w:rsidR="00794D7C">
        <w:rPr>
          <w:szCs w:val="20"/>
          <w:lang w:eastAsia="tr-TR"/>
        </w:rPr>
        <w:t xml:space="preserve"> </w:t>
      </w:r>
    </w:p>
    <w:p w14:paraId="764CADE8" w14:textId="27C0AD4B"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Boyle, E., Duffy, T., and Dunleavy, K. (2003). Learning styles and academic outcome: the validity and utility of </w:t>
      </w:r>
      <w:proofErr w:type="spellStart"/>
      <w:r w:rsidRPr="0060578E">
        <w:rPr>
          <w:szCs w:val="20"/>
          <w:lang w:eastAsia="tr-TR"/>
        </w:rPr>
        <w:t>Vermunt's</w:t>
      </w:r>
      <w:proofErr w:type="spellEnd"/>
      <w:r w:rsidRPr="0060578E">
        <w:rPr>
          <w:szCs w:val="20"/>
          <w:lang w:eastAsia="tr-TR"/>
        </w:rPr>
        <w:t xml:space="preserve"> Inventory of Learning Styles in a British higher education setting. </w:t>
      </w:r>
      <w:r w:rsidRPr="00794D7C">
        <w:rPr>
          <w:i/>
          <w:iCs/>
          <w:szCs w:val="20"/>
          <w:lang w:eastAsia="tr-TR"/>
        </w:rPr>
        <w:t>British Journal of Educational Psychology,</w:t>
      </w:r>
      <w:r w:rsidRPr="0060578E">
        <w:rPr>
          <w:szCs w:val="20"/>
          <w:lang w:eastAsia="tr-TR"/>
        </w:rPr>
        <w:t xml:space="preserve"> 73, 276-290. </w:t>
      </w:r>
      <w:hyperlink r:id="rId10" w:history="1">
        <w:r w:rsidRPr="0060578E">
          <w:t>https://doi.org/10.1348/00070990360626976</w:t>
        </w:r>
      </w:hyperlink>
      <w:r w:rsidR="00794D7C">
        <w:rPr>
          <w:lang w:eastAsia="tr-TR"/>
        </w:rPr>
        <w:t xml:space="preserve"> </w:t>
      </w:r>
    </w:p>
    <w:p w14:paraId="76B89790" w14:textId="25C4E78C"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Busato</w:t>
      </w:r>
      <w:proofErr w:type="spellEnd"/>
      <w:r w:rsidRPr="0060578E">
        <w:rPr>
          <w:szCs w:val="20"/>
          <w:lang w:eastAsia="tr-TR"/>
        </w:rPr>
        <w:t xml:space="preserve">, V.V., Prins, F.J., </w:t>
      </w:r>
      <w:proofErr w:type="spellStart"/>
      <w:r w:rsidRPr="0060578E">
        <w:rPr>
          <w:szCs w:val="20"/>
          <w:lang w:eastAsia="tr-TR"/>
        </w:rPr>
        <w:t>Elshout</w:t>
      </w:r>
      <w:proofErr w:type="spellEnd"/>
      <w:r w:rsidRPr="0060578E">
        <w:rPr>
          <w:szCs w:val="20"/>
          <w:lang w:eastAsia="tr-TR"/>
        </w:rPr>
        <w:t xml:space="preserve">, J.J., and </w:t>
      </w:r>
      <w:proofErr w:type="spellStart"/>
      <w:r w:rsidRPr="0060578E">
        <w:rPr>
          <w:szCs w:val="20"/>
          <w:lang w:eastAsia="tr-TR"/>
        </w:rPr>
        <w:t>Hamaker</w:t>
      </w:r>
      <w:proofErr w:type="spellEnd"/>
      <w:r w:rsidRPr="0060578E">
        <w:rPr>
          <w:szCs w:val="20"/>
          <w:lang w:eastAsia="tr-TR"/>
        </w:rPr>
        <w:t xml:space="preserve">, C. (1998). Learning styles: a cross- sectional and longitudinal study in higher education. </w:t>
      </w:r>
      <w:r w:rsidRPr="00794D7C">
        <w:rPr>
          <w:i/>
          <w:iCs/>
          <w:szCs w:val="20"/>
          <w:lang w:eastAsia="tr-TR"/>
        </w:rPr>
        <w:t>British Journal of Educational Psychology</w:t>
      </w:r>
      <w:r w:rsidRPr="0060578E">
        <w:rPr>
          <w:szCs w:val="20"/>
          <w:lang w:eastAsia="tr-TR"/>
        </w:rPr>
        <w:t xml:space="preserve">, 68, 427-441. </w:t>
      </w:r>
      <w:hyperlink r:id="rId11" w:history="1">
        <w:r w:rsidRPr="0060578E">
          <w:t>https://doi.org/10.1111/j.2044-8279.1998.tb01302.x</w:t>
        </w:r>
      </w:hyperlink>
      <w:r w:rsidR="00794D7C">
        <w:rPr>
          <w:lang w:eastAsia="tr-TR"/>
        </w:rPr>
        <w:t xml:space="preserve"> </w:t>
      </w:r>
    </w:p>
    <w:p w14:paraId="229B59F0" w14:textId="0DF39C69"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Busato</w:t>
      </w:r>
      <w:proofErr w:type="spellEnd"/>
      <w:r w:rsidRPr="0060578E">
        <w:rPr>
          <w:szCs w:val="20"/>
          <w:lang w:eastAsia="tr-TR"/>
        </w:rPr>
        <w:t xml:space="preserve">, V.V., Prins, F.J., </w:t>
      </w:r>
      <w:proofErr w:type="spellStart"/>
      <w:r w:rsidRPr="0060578E">
        <w:rPr>
          <w:szCs w:val="20"/>
          <w:lang w:eastAsia="tr-TR"/>
        </w:rPr>
        <w:t>Elshout</w:t>
      </w:r>
      <w:proofErr w:type="spellEnd"/>
      <w:r w:rsidRPr="0060578E">
        <w:rPr>
          <w:szCs w:val="20"/>
          <w:lang w:eastAsia="tr-TR"/>
        </w:rPr>
        <w:t xml:space="preserve">, J.J., and </w:t>
      </w:r>
      <w:proofErr w:type="spellStart"/>
      <w:r w:rsidRPr="0060578E">
        <w:rPr>
          <w:szCs w:val="20"/>
          <w:lang w:eastAsia="tr-TR"/>
        </w:rPr>
        <w:t>Hamaker</w:t>
      </w:r>
      <w:proofErr w:type="spellEnd"/>
      <w:r w:rsidRPr="0060578E">
        <w:rPr>
          <w:szCs w:val="20"/>
          <w:lang w:eastAsia="tr-TR"/>
        </w:rPr>
        <w:t xml:space="preserve">, C. (1999). The relationship between learning styles, the big five personality traits and achievement motivation in higher education. </w:t>
      </w:r>
      <w:r w:rsidRPr="00794D7C">
        <w:rPr>
          <w:i/>
          <w:iCs/>
          <w:szCs w:val="20"/>
          <w:lang w:eastAsia="tr-TR"/>
        </w:rPr>
        <w:t>Personality and Individual Differences</w:t>
      </w:r>
      <w:r w:rsidRPr="0060578E">
        <w:rPr>
          <w:szCs w:val="20"/>
          <w:lang w:eastAsia="tr-TR"/>
        </w:rPr>
        <w:t xml:space="preserve">, 26, 29-42. </w:t>
      </w:r>
      <w:hyperlink r:id="rId12" w:tgtFrame="_blank" w:tooltip="Persistent link using digital object identifier" w:history="1">
        <w:r w:rsidRPr="0060578E">
          <w:t>https://doi.org/10.1016/S0191-8869(98)00112-3</w:t>
        </w:r>
      </w:hyperlink>
      <w:r w:rsidR="00794D7C">
        <w:rPr>
          <w:lang w:eastAsia="tr-TR"/>
        </w:rPr>
        <w:t xml:space="preserve"> </w:t>
      </w:r>
    </w:p>
    <w:p w14:paraId="3CD611F2" w14:textId="2303E9BC"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Bennett. Ş. (2006). </w:t>
      </w:r>
      <w:r w:rsidRPr="00794D7C">
        <w:rPr>
          <w:i/>
          <w:iCs/>
          <w:szCs w:val="20"/>
          <w:lang w:eastAsia="tr-TR"/>
        </w:rPr>
        <w:t xml:space="preserve">Handbook of </w:t>
      </w:r>
      <w:r w:rsidR="00794D7C">
        <w:rPr>
          <w:i/>
          <w:iCs/>
          <w:szCs w:val="20"/>
          <w:lang w:eastAsia="tr-TR"/>
        </w:rPr>
        <w:t>D</w:t>
      </w:r>
      <w:r w:rsidRPr="00794D7C">
        <w:rPr>
          <w:i/>
          <w:iCs/>
          <w:szCs w:val="20"/>
          <w:lang w:eastAsia="tr-TR"/>
        </w:rPr>
        <w:t xml:space="preserve">ata </w:t>
      </w:r>
      <w:r w:rsidR="00794D7C">
        <w:rPr>
          <w:i/>
          <w:iCs/>
          <w:szCs w:val="20"/>
          <w:lang w:eastAsia="tr-TR"/>
        </w:rPr>
        <w:t>A</w:t>
      </w:r>
      <w:r w:rsidRPr="00794D7C">
        <w:rPr>
          <w:i/>
          <w:iCs/>
          <w:szCs w:val="20"/>
          <w:lang w:eastAsia="tr-TR"/>
        </w:rPr>
        <w:t xml:space="preserve">nalysis for </w:t>
      </w:r>
      <w:r w:rsidR="00794D7C">
        <w:rPr>
          <w:i/>
          <w:iCs/>
          <w:szCs w:val="20"/>
          <w:lang w:eastAsia="tr-TR"/>
        </w:rPr>
        <w:t>T</w:t>
      </w:r>
      <w:r w:rsidRPr="00794D7C">
        <w:rPr>
          <w:i/>
          <w:iCs/>
          <w:szCs w:val="20"/>
          <w:lang w:eastAsia="tr-TR"/>
        </w:rPr>
        <w:t xml:space="preserve">he </w:t>
      </w:r>
      <w:r w:rsidR="00794D7C">
        <w:rPr>
          <w:i/>
          <w:iCs/>
          <w:szCs w:val="20"/>
          <w:lang w:eastAsia="tr-TR"/>
        </w:rPr>
        <w:t>S</w:t>
      </w:r>
      <w:r w:rsidRPr="00794D7C">
        <w:rPr>
          <w:i/>
          <w:iCs/>
          <w:szCs w:val="20"/>
          <w:lang w:eastAsia="tr-TR"/>
        </w:rPr>
        <w:t xml:space="preserve">ocial </w:t>
      </w:r>
      <w:r w:rsidR="00794D7C">
        <w:rPr>
          <w:i/>
          <w:iCs/>
          <w:szCs w:val="20"/>
          <w:lang w:eastAsia="tr-TR"/>
        </w:rPr>
        <w:t>S</w:t>
      </w:r>
      <w:r w:rsidRPr="00794D7C">
        <w:rPr>
          <w:i/>
          <w:iCs/>
          <w:szCs w:val="20"/>
          <w:lang w:eastAsia="tr-TR"/>
        </w:rPr>
        <w:t>ciences</w:t>
      </w:r>
      <w:r w:rsidRPr="0060578E">
        <w:rPr>
          <w:szCs w:val="20"/>
          <w:lang w:eastAsia="tr-TR"/>
        </w:rPr>
        <w:t xml:space="preserve">. Ankara: </w:t>
      </w:r>
      <w:proofErr w:type="spellStart"/>
      <w:r w:rsidRPr="0060578E">
        <w:rPr>
          <w:szCs w:val="20"/>
          <w:lang w:eastAsia="tr-TR"/>
        </w:rPr>
        <w:t>Pegem</w:t>
      </w:r>
      <w:proofErr w:type="spellEnd"/>
      <w:r w:rsidRPr="0060578E">
        <w:rPr>
          <w:szCs w:val="20"/>
          <w:lang w:eastAsia="tr-TR"/>
        </w:rPr>
        <w:t xml:space="preserve"> Publications. </w:t>
      </w:r>
    </w:p>
    <w:p w14:paraId="7B7B4EDF" w14:textId="4A7E4149"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Coffield</w:t>
      </w:r>
      <w:proofErr w:type="spellEnd"/>
      <w:r w:rsidRPr="0060578E">
        <w:rPr>
          <w:szCs w:val="20"/>
          <w:lang w:eastAsia="tr-TR"/>
        </w:rPr>
        <w:t>, F., Moseley, D., Hall, E., and Ecclestone, K. (</w:t>
      </w:r>
      <w:r w:rsidR="00794D7C" w:rsidRPr="0060578E">
        <w:rPr>
          <w:szCs w:val="20"/>
          <w:lang w:eastAsia="tr-TR"/>
        </w:rPr>
        <w:t>June 15, 2022</w:t>
      </w:r>
      <w:r w:rsidRPr="0060578E">
        <w:rPr>
          <w:szCs w:val="20"/>
          <w:lang w:eastAsia="tr-TR"/>
        </w:rPr>
        <w:t xml:space="preserve">). Should we be using learning styles? What research has to say to practice. </w:t>
      </w:r>
      <w:r w:rsidR="00794D7C">
        <w:rPr>
          <w:szCs w:val="20"/>
          <w:lang w:eastAsia="tr-TR"/>
        </w:rPr>
        <w:t xml:space="preserve">In </w:t>
      </w:r>
      <w:r w:rsidRPr="00794D7C">
        <w:rPr>
          <w:i/>
          <w:iCs/>
          <w:szCs w:val="20"/>
          <w:lang w:eastAsia="tr-TR"/>
        </w:rPr>
        <w:t>Learning and Skills Centre</w:t>
      </w:r>
      <w:r w:rsidR="00794D7C" w:rsidRPr="00794D7C">
        <w:rPr>
          <w:i/>
          <w:iCs/>
          <w:szCs w:val="20"/>
          <w:lang w:eastAsia="tr-TR"/>
        </w:rPr>
        <w:t>.</w:t>
      </w:r>
      <w:r w:rsidRPr="0060578E">
        <w:rPr>
          <w:szCs w:val="20"/>
          <w:lang w:eastAsia="tr-TR"/>
        </w:rPr>
        <w:t xml:space="preserve"> http://hdl.voced.edu.au/10707/64981. </w:t>
      </w:r>
    </w:p>
    <w:p w14:paraId="448DB8AC" w14:textId="2F8AE70F"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Dawes, A. J., Keogh, R., </w:t>
      </w:r>
      <w:proofErr w:type="spellStart"/>
      <w:r w:rsidRPr="0060578E">
        <w:rPr>
          <w:szCs w:val="20"/>
          <w:lang w:eastAsia="tr-TR"/>
        </w:rPr>
        <w:t>Andrillon</w:t>
      </w:r>
      <w:proofErr w:type="spellEnd"/>
      <w:r w:rsidRPr="0060578E">
        <w:rPr>
          <w:szCs w:val="20"/>
          <w:lang w:eastAsia="tr-TR"/>
        </w:rPr>
        <w:t>, T., &amp; Pearson, J. (2020). A cognitive profile of multi-sensory imagery, memory and dreaming in aphantasia. </w:t>
      </w:r>
      <w:r w:rsidRPr="00794D7C">
        <w:rPr>
          <w:i/>
          <w:iCs/>
          <w:szCs w:val="20"/>
          <w:lang w:eastAsia="tr-TR"/>
        </w:rPr>
        <w:t xml:space="preserve">Scientific </w:t>
      </w:r>
      <w:r w:rsidR="00794D7C" w:rsidRPr="00794D7C">
        <w:rPr>
          <w:i/>
          <w:iCs/>
          <w:szCs w:val="20"/>
          <w:lang w:eastAsia="tr-TR"/>
        </w:rPr>
        <w:t>R</w:t>
      </w:r>
      <w:r w:rsidRPr="00794D7C">
        <w:rPr>
          <w:i/>
          <w:iCs/>
          <w:szCs w:val="20"/>
          <w:lang w:eastAsia="tr-TR"/>
        </w:rPr>
        <w:t>eports</w:t>
      </w:r>
      <w:r w:rsidRPr="0060578E">
        <w:rPr>
          <w:szCs w:val="20"/>
          <w:lang w:eastAsia="tr-TR"/>
        </w:rPr>
        <w:t xml:space="preserve">, </w:t>
      </w:r>
      <w:r w:rsidRPr="00794D7C">
        <w:rPr>
          <w:i/>
          <w:iCs/>
          <w:szCs w:val="20"/>
          <w:lang w:eastAsia="tr-TR"/>
        </w:rPr>
        <w:t>10</w:t>
      </w:r>
      <w:r w:rsidRPr="0060578E">
        <w:rPr>
          <w:szCs w:val="20"/>
          <w:lang w:eastAsia="tr-TR"/>
        </w:rPr>
        <w:t xml:space="preserve">(1), 10022. </w:t>
      </w:r>
      <w:hyperlink r:id="rId13" w:history="1">
        <w:r w:rsidRPr="0060578E">
          <w:rPr>
            <w:szCs w:val="20"/>
            <w:lang w:eastAsia="tr-TR"/>
          </w:rPr>
          <w:t>https://www.nature.com/articles/s41598-020-65705-7</w:t>
        </w:r>
      </w:hyperlink>
    </w:p>
    <w:p w14:paraId="0BF27B79" w14:textId="77777777"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De Vito, S., and Bartolomeo, P. (2015). Refusing to imagine? On the possibility of psychogenic aphantasia. </w:t>
      </w:r>
      <w:r w:rsidRPr="00794D7C">
        <w:rPr>
          <w:i/>
          <w:iCs/>
          <w:szCs w:val="20"/>
          <w:lang w:eastAsia="tr-TR"/>
        </w:rPr>
        <w:t>Cortex</w:t>
      </w:r>
      <w:r w:rsidRPr="0060578E">
        <w:rPr>
          <w:szCs w:val="20"/>
          <w:lang w:eastAsia="tr-TR"/>
        </w:rPr>
        <w:t>, 74, 334-335.</w:t>
      </w:r>
    </w:p>
    <w:p w14:paraId="70779464" w14:textId="271F22B2" w:rsidR="0060578E" w:rsidRPr="0060578E" w:rsidRDefault="0060578E" w:rsidP="0060578E">
      <w:pPr>
        <w:widowControl w:val="0"/>
        <w:spacing w:line="360" w:lineRule="auto"/>
        <w:ind w:left="720" w:hanging="720"/>
        <w:rPr>
          <w:szCs w:val="20"/>
          <w:lang w:eastAsia="tr-TR"/>
        </w:rPr>
      </w:pPr>
      <w:r w:rsidRPr="0060578E">
        <w:rPr>
          <w:szCs w:val="20"/>
          <w:lang w:eastAsia="tr-TR"/>
        </w:rPr>
        <w:t>Dewey, J. (</w:t>
      </w:r>
      <w:r w:rsidR="00794D7C" w:rsidRPr="0060578E">
        <w:rPr>
          <w:szCs w:val="20"/>
          <w:lang w:eastAsia="tr-TR"/>
        </w:rPr>
        <w:t>April 24, 2022</w:t>
      </w:r>
      <w:r w:rsidRPr="0060578E">
        <w:rPr>
          <w:szCs w:val="20"/>
          <w:lang w:eastAsia="tr-TR"/>
        </w:rPr>
        <w:t xml:space="preserve">). </w:t>
      </w:r>
      <w:r w:rsidR="00794D7C" w:rsidRPr="00794D7C">
        <w:rPr>
          <w:i/>
          <w:iCs/>
          <w:szCs w:val="20"/>
          <w:lang w:eastAsia="tr-TR"/>
        </w:rPr>
        <w:t xml:space="preserve">In </w:t>
      </w:r>
      <w:r w:rsidRPr="00794D7C">
        <w:rPr>
          <w:i/>
          <w:iCs/>
          <w:szCs w:val="20"/>
          <w:lang w:eastAsia="tr-TR"/>
        </w:rPr>
        <w:t>Logic: The theory of inquiry</w:t>
      </w:r>
      <w:r w:rsidR="00794D7C">
        <w:rPr>
          <w:i/>
          <w:iCs/>
          <w:szCs w:val="20"/>
          <w:lang w:eastAsia="tr-TR"/>
        </w:rPr>
        <w:t>.</w:t>
      </w:r>
      <w:r w:rsidRPr="0060578E">
        <w:rPr>
          <w:szCs w:val="20"/>
          <w:lang w:eastAsia="tr-TR"/>
        </w:rPr>
        <w:t xml:space="preserve"> </w:t>
      </w:r>
      <w:hyperlink r:id="rId14" w:history="1">
        <w:r w:rsidRPr="0060578E">
          <w:rPr>
            <w:szCs w:val="20"/>
            <w:lang w:eastAsia="tr-TR"/>
          </w:rPr>
          <w:t>https://www.unitus.org/FULL/</w:t>
        </w:r>
        <w:r w:rsidRPr="0060578E">
          <w:rPr>
            <w:szCs w:val="20"/>
            <w:lang w:eastAsia="tr-TR"/>
          </w:rPr>
          <w:t>D</w:t>
        </w:r>
        <w:r w:rsidRPr="0060578E">
          <w:rPr>
            <w:szCs w:val="20"/>
            <w:lang w:eastAsia="tr-TR"/>
          </w:rPr>
          <w:t>ewLog38.pdf</w:t>
        </w:r>
      </w:hyperlink>
    </w:p>
    <w:p w14:paraId="3684AC73" w14:textId="3CD6651C" w:rsidR="0060578E" w:rsidRPr="0060578E" w:rsidRDefault="0060578E" w:rsidP="0060578E">
      <w:pPr>
        <w:widowControl w:val="0"/>
        <w:spacing w:line="360" w:lineRule="auto"/>
        <w:ind w:left="720" w:hanging="720"/>
        <w:rPr>
          <w:szCs w:val="20"/>
          <w:lang w:eastAsia="tr-TR"/>
        </w:rPr>
      </w:pPr>
      <w:r w:rsidRPr="0060578E">
        <w:rPr>
          <w:szCs w:val="20"/>
          <w:lang w:eastAsia="tr-TR"/>
        </w:rPr>
        <w:lastRenderedPageBreak/>
        <w:t xml:space="preserve">Dunn, R. and Dunn, K. (1993). </w:t>
      </w:r>
      <w:r w:rsidRPr="00794D7C">
        <w:rPr>
          <w:i/>
          <w:iCs/>
          <w:szCs w:val="20"/>
          <w:lang w:eastAsia="tr-TR"/>
        </w:rPr>
        <w:t xml:space="preserve">Teaching </w:t>
      </w:r>
      <w:r w:rsidR="00794D7C">
        <w:rPr>
          <w:i/>
          <w:iCs/>
          <w:szCs w:val="20"/>
          <w:lang w:eastAsia="tr-TR"/>
        </w:rPr>
        <w:t>S</w:t>
      </w:r>
      <w:r w:rsidRPr="00794D7C">
        <w:rPr>
          <w:i/>
          <w:iCs/>
          <w:szCs w:val="20"/>
          <w:lang w:eastAsia="tr-TR"/>
        </w:rPr>
        <w:t xml:space="preserve">econdary </w:t>
      </w:r>
      <w:r w:rsidR="00794D7C">
        <w:rPr>
          <w:i/>
          <w:iCs/>
          <w:szCs w:val="20"/>
          <w:lang w:eastAsia="tr-TR"/>
        </w:rPr>
        <w:t>S</w:t>
      </w:r>
      <w:r w:rsidRPr="00794D7C">
        <w:rPr>
          <w:i/>
          <w:iCs/>
          <w:szCs w:val="20"/>
          <w:lang w:eastAsia="tr-TR"/>
        </w:rPr>
        <w:t xml:space="preserve">tudents </w:t>
      </w:r>
      <w:r w:rsidR="00794D7C">
        <w:rPr>
          <w:i/>
          <w:iCs/>
          <w:szCs w:val="20"/>
          <w:lang w:eastAsia="tr-TR"/>
        </w:rPr>
        <w:t>T</w:t>
      </w:r>
      <w:r w:rsidRPr="00794D7C">
        <w:rPr>
          <w:i/>
          <w:iCs/>
          <w:szCs w:val="20"/>
          <w:lang w:eastAsia="tr-TR"/>
        </w:rPr>
        <w:t xml:space="preserve">hrough </w:t>
      </w:r>
      <w:r w:rsidR="00794D7C">
        <w:rPr>
          <w:i/>
          <w:iCs/>
          <w:szCs w:val="20"/>
          <w:lang w:eastAsia="tr-TR"/>
        </w:rPr>
        <w:t>T</w:t>
      </w:r>
      <w:r w:rsidRPr="00794D7C">
        <w:rPr>
          <w:i/>
          <w:iCs/>
          <w:szCs w:val="20"/>
          <w:lang w:eastAsia="tr-TR"/>
        </w:rPr>
        <w:t xml:space="preserve">heir </w:t>
      </w:r>
      <w:r w:rsidR="00794D7C">
        <w:rPr>
          <w:i/>
          <w:iCs/>
          <w:szCs w:val="20"/>
          <w:lang w:eastAsia="tr-TR"/>
        </w:rPr>
        <w:t>I</w:t>
      </w:r>
      <w:r w:rsidRPr="00794D7C">
        <w:rPr>
          <w:i/>
          <w:iCs/>
          <w:szCs w:val="20"/>
          <w:lang w:eastAsia="tr-TR"/>
        </w:rPr>
        <w:t xml:space="preserve">ndividual </w:t>
      </w:r>
      <w:r w:rsidR="00794D7C">
        <w:rPr>
          <w:i/>
          <w:iCs/>
          <w:szCs w:val="20"/>
          <w:lang w:eastAsia="tr-TR"/>
        </w:rPr>
        <w:t>L</w:t>
      </w:r>
      <w:r w:rsidRPr="00794D7C">
        <w:rPr>
          <w:i/>
          <w:iCs/>
          <w:szCs w:val="20"/>
          <w:lang w:eastAsia="tr-TR"/>
        </w:rPr>
        <w:t xml:space="preserve">earning </w:t>
      </w:r>
      <w:r w:rsidR="00794D7C">
        <w:rPr>
          <w:i/>
          <w:iCs/>
          <w:szCs w:val="20"/>
          <w:lang w:eastAsia="tr-TR"/>
        </w:rPr>
        <w:t>S</w:t>
      </w:r>
      <w:r w:rsidRPr="00794D7C">
        <w:rPr>
          <w:i/>
          <w:iCs/>
          <w:szCs w:val="20"/>
          <w:lang w:eastAsia="tr-TR"/>
        </w:rPr>
        <w:t xml:space="preserve">tyles: </w:t>
      </w:r>
      <w:r w:rsidR="00794D7C">
        <w:rPr>
          <w:i/>
          <w:iCs/>
          <w:szCs w:val="20"/>
          <w:lang w:eastAsia="tr-TR"/>
        </w:rPr>
        <w:t>P</w:t>
      </w:r>
      <w:r w:rsidRPr="00794D7C">
        <w:rPr>
          <w:i/>
          <w:iCs/>
          <w:szCs w:val="20"/>
          <w:lang w:eastAsia="tr-TR"/>
        </w:rPr>
        <w:t xml:space="preserve">ractical </w:t>
      </w:r>
      <w:r w:rsidR="00794D7C">
        <w:rPr>
          <w:i/>
          <w:iCs/>
          <w:szCs w:val="20"/>
          <w:lang w:eastAsia="tr-TR"/>
        </w:rPr>
        <w:t>A</w:t>
      </w:r>
      <w:r w:rsidRPr="00794D7C">
        <w:rPr>
          <w:i/>
          <w:iCs/>
          <w:szCs w:val="20"/>
          <w:lang w:eastAsia="tr-TR"/>
        </w:rPr>
        <w:t xml:space="preserve">pproaches for </w:t>
      </w:r>
      <w:r w:rsidR="00794D7C">
        <w:rPr>
          <w:i/>
          <w:iCs/>
          <w:szCs w:val="20"/>
          <w:lang w:eastAsia="tr-TR"/>
        </w:rPr>
        <w:t>G</w:t>
      </w:r>
      <w:r w:rsidRPr="00794D7C">
        <w:rPr>
          <w:i/>
          <w:iCs/>
          <w:szCs w:val="20"/>
          <w:lang w:eastAsia="tr-TR"/>
        </w:rPr>
        <w:t>rades 7–12</w:t>
      </w:r>
      <w:r w:rsidRPr="0060578E">
        <w:rPr>
          <w:szCs w:val="20"/>
          <w:lang w:eastAsia="tr-TR"/>
        </w:rPr>
        <w:t xml:space="preserve">. Boston: Allyn and Bacon. </w:t>
      </w:r>
    </w:p>
    <w:p w14:paraId="1AD895D1" w14:textId="77777777"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Felder, R. M., and Brent, R. (2005). Understanding student differences. </w:t>
      </w:r>
      <w:r w:rsidRPr="00794D7C">
        <w:rPr>
          <w:i/>
          <w:iCs/>
          <w:szCs w:val="20"/>
          <w:lang w:eastAsia="tr-TR"/>
        </w:rPr>
        <w:t>Journal of Engineering Education, 94</w:t>
      </w:r>
      <w:r w:rsidRPr="0060578E">
        <w:rPr>
          <w:szCs w:val="20"/>
          <w:lang w:eastAsia="tr-TR"/>
        </w:rPr>
        <w:t xml:space="preserve">(1), 57-72 </w:t>
      </w:r>
      <w:hyperlink r:id="rId15" w:history="1">
        <w:r w:rsidRPr="0060578E">
          <w:t>https://doi.org/10.1002/j.2168-9830.2005.tb00829.x</w:t>
        </w:r>
      </w:hyperlink>
    </w:p>
    <w:p w14:paraId="01F824D5" w14:textId="4789E708"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Grasha</w:t>
      </w:r>
      <w:proofErr w:type="spellEnd"/>
      <w:r w:rsidRPr="0060578E">
        <w:rPr>
          <w:szCs w:val="20"/>
          <w:lang w:eastAsia="tr-TR"/>
        </w:rPr>
        <w:t xml:space="preserve">, A. F. (1996). </w:t>
      </w:r>
      <w:r w:rsidRPr="00794D7C">
        <w:rPr>
          <w:i/>
          <w:iCs/>
          <w:szCs w:val="20"/>
          <w:lang w:eastAsia="tr-TR"/>
        </w:rPr>
        <w:t xml:space="preserve">Teaching </w:t>
      </w:r>
      <w:r w:rsidR="00794D7C">
        <w:rPr>
          <w:i/>
          <w:iCs/>
          <w:szCs w:val="20"/>
          <w:lang w:eastAsia="tr-TR"/>
        </w:rPr>
        <w:t>W</w:t>
      </w:r>
      <w:r w:rsidRPr="00794D7C">
        <w:rPr>
          <w:i/>
          <w:iCs/>
          <w:szCs w:val="20"/>
          <w:lang w:eastAsia="tr-TR"/>
        </w:rPr>
        <w:t xml:space="preserve">ith </w:t>
      </w:r>
      <w:r w:rsidR="00794D7C">
        <w:rPr>
          <w:i/>
          <w:iCs/>
          <w:szCs w:val="20"/>
          <w:lang w:eastAsia="tr-TR"/>
        </w:rPr>
        <w:t>S</w:t>
      </w:r>
      <w:r w:rsidRPr="00794D7C">
        <w:rPr>
          <w:i/>
          <w:iCs/>
          <w:szCs w:val="20"/>
          <w:lang w:eastAsia="tr-TR"/>
        </w:rPr>
        <w:t xml:space="preserve">tyle: A </w:t>
      </w:r>
      <w:r w:rsidR="00794D7C">
        <w:rPr>
          <w:i/>
          <w:iCs/>
          <w:szCs w:val="20"/>
          <w:lang w:eastAsia="tr-TR"/>
        </w:rPr>
        <w:t>P</w:t>
      </w:r>
      <w:r w:rsidRPr="00794D7C">
        <w:rPr>
          <w:i/>
          <w:iCs/>
          <w:szCs w:val="20"/>
          <w:lang w:eastAsia="tr-TR"/>
        </w:rPr>
        <w:t xml:space="preserve">ractical </w:t>
      </w:r>
      <w:r w:rsidR="00794D7C">
        <w:rPr>
          <w:i/>
          <w:iCs/>
          <w:szCs w:val="20"/>
          <w:lang w:eastAsia="tr-TR"/>
        </w:rPr>
        <w:t>G</w:t>
      </w:r>
      <w:r w:rsidRPr="00794D7C">
        <w:rPr>
          <w:i/>
          <w:iCs/>
          <w:szCs w:val="20"/>
          <w:lang w:eastAsia="tr-TR"/>
        </w:rPr>
        <w:t xml:space="preserve">uide to </w:t>
      </w:r>
      <w:r w:rsidR="00794D7C">
        <w:rPr>
          <w:i/>
          <w:iCs/>
          <w:szCs w:val="20"/>
          <w:lang w:eastAsia="tr-TR"/>
        </w:rPr>
        <w:t>E</w:t>
      </w:r>
      <w:r w:rsidRPr="00794D7C">
        <w:rPr>
          <w:i/>
          <w:iCs/>
          <w:szCs w:val="20"/>
          <w:lang w:eastAsia="tr-TR"/>
        </w:rPr>
        <w:t xml:space="preserve">nhancing </w:t>
      </w:r>
      <w:r w:rsidR="00F83162">
        <w:rPr>
          <w:i/>
          <w:iCs/>
          <w:szCs w:val="20"/>
          <w:lang w:eastAsia="tr-TR"/>
        </w:rPr>
        <w:t>L</w:t>
      </w:r>
      <w:r w:rsidRPr="00794D7C">
        <w:rPr>
          <w:i/>
          <w:iCs/>
          <w:szCs w:val="20"/>
          <w:lang w:eastAsia="tr-TR"/>
        </w:rPr>
        <w:t xml:space="preserve">earning by </w:t>
      </w:r>
      <w:r w:rsidR="00F83162">
        <w:rPr>
          <w:i/>
          <w:iCs/>
          <w:szCs w:val="20"/>
          <w:lang w:eastAsia="tr-TR"/>
        </w:rPr>
        <w:t>U</w:t>
      </w:r>
      <w:r w:rsidRPr="00794D7C">
        <w:rPr>
          <w:i/>
          <w:iCs/>
          <w:szCs w:val="20"/>
          <w:lang w:eastAsia="tr-TR"/>
        </w:rPr>
        <w:t xml:space="preserve">nderstanding </w:t>
      </w:r>
      <w:r w:rsidR="00F83162">
        <w:rPr>
          <w:i/>
          <w:iCs/>
          <w:szCs w:val="20"/>
          <w:lang w:eastAsia="tr-TR"/>
        </w:rPr>
        <w:t>T</w:t>
      </w:r>
      <w:r w:rsidRPr="00794D7C">
        <w:rPr>
          <w:i/>
          <w:iCs/>
          <w:szCs w:val="20"/>
          <w:lang w:eastAsia="tr-TR"/>
        </w:rPr>
        <w:t xml:space="preserve">eaching and </w:t>
      </w:r>
      <w:r w:rsidR="00F83162">
        <w:rPr>
          <w:i/>
          <w:iCs/>
          <w:szCs w:val="20"/>
          <w:lang w:eastAsia="tr-TR"/>
        </w:rPr>
        <w:t>L</w:t>
      </w:r>
      <w:r w:rsidRPr="00794D7C">
        <w:rPr>
          <w:i/>
          <w:iCs/>
          <w:szCs w:val="20"/>
          <w:lang w:eastAsia="tr-TR"/>
        </w:rPr>
        <w:t xml:space="preserve">earning </w:t>
      </w:r>
      <w:r w:rsidR="00F83162">
        <w:rPr>
          <w:i/>
          <w:iCs/>
          <w:szCs w:val="20"/>
          <w:lang w:eastAsia="tr-TR"/>
        </w:rPr>
        <w:t>S</w:t>
      </w:r>
      <w:r w:rsidRPr="00794D7C">
        <w:rPr>
          <w:i/>
          <w:iCs/>
          <w:szCs w:val="20"/>
          <w:lang w:eastAsia="tr-TR"/>
        </w:rPr>
        <w:t>tyles</w:t>
      </w:r>
      <w:r w:rsidRPr="0060578E">
        <w:rPr>
          <w:szCs w:val="20"/>
          <w:lang w:eastAsia="tr-TR"/>
        </w:rPr>
        <w:t xml:space="preserve">. San Bernardino, CA: Alliance Publishers. </w:t>
      </w:r>
    </w:p>
    <w:p w14:paraId="27A9B1CF" w14:textId="545E6EC6"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Ishai</w:t>
      </w:r>
      <w:proofErr w:type="spellEnd"/>
      <w:r w:rsidRPr="0060578E">
        <w:rPr>
          <w:szCs w:val="20"/>
          <w:lang w:eastAsia="tr-TR"/>
        </w:rPr>
        <w:t>, A. (2010). Seeing faces and objects with the "mind's eye". </w:t>
      </w:r>
      <w:r w:rsidRPr="00F83162">
        <w:rPr>
          <w:i/>
          <w:iCs/>
          <w:szCs w:val="20"/>
          <w:lang w:eastAsia="tr-TR"/>
        </w:rPr>
        <w:t xml:space="preserve">Archives </w:t>
      </w:r>
      <w:proofErr w:type="spellStart"/>
      <w:r w:rsidR="00F83162" w:rsidRPr="00F83162">
        <w:rPr>
          <w:i/>
          <w:iCs/>
          <w:szCs w:val="20"/>
          <w:lang w:eastAsia="tr-TR"/>
        </w:rPr>
        <w:t>I</w:t>
      </w:r>
      <w:r w:rsidRPr="00F83162">
        <w:rPr>
          <w:i/>
          <w:iCs/>
          <w:szCs w:val="20"/>
          <w:lang w:eastAsia="tr-TR"/>
        </w:rPr>
        <w:t>taliennes</w:t>
      </w:r>
      <w:proofErr w:type="spellEnd"/>
      <w:r w:rsidRPr="00F83162">
        <w:rPr>
          <w:i/>
          <w:iCs/>
          <w:szCs w:val="20"/>
          <w:lang w:eastAsia="tr-TR"/>
        </w:rPr>
        <w:t xml:space="preserve"> de </w:t>
      </w:r>
      <w:proofErr w:type="spellStart"/>
      <w:r w:rsidR="00F83162" w:rsidRPr="00F83162">
        <w:rPr>
          <w:i/>
          <w:iCs/>
          <w:szCs w:val="20"/>
          <w:lang w:eastAsia="tr-TR"/>
        </w:rPr>
        <w:t>B</w:t>
      </w:r>
      <w:r w:rsidRPr="00F83162">
        <w:rPr>
          <w:i/>
          <w:iCs/>
          <w:szCs w:val="20"/>
          <w:lang w:eastAsia="tr-TR"/>
        </w:rPr>
        <w:t>iologie</w:t>
      </w:r>
      <w:proofErr w:type="spellEnd"/>
      <w:r w:rsidRPr="00F83162">
        <w:rPr>
          <w:i/>
          <w:iCs/>
          <w:szCs w:val="20"/>
          <w:lang w:eastAsia="tr-TR"/>
        </w:rPr>
        <w:t>, 148</w:t>
      </w:r>
      <w:r w:rsidRPr="0060578E">
        <w:rPr>
          <w:szCs w:val="20"/>
          <w:lang w:eastAsia="tr-TR"/>
        </w:rPr>
        <w:t xml:space="preserve">(1), 1-9. </w:t>
      </w:r>
      <w:hyperlink r:id="rId16" w:history="1">
        <w:r w:rsidRPr="0060578E">
          <w:rPr>
            <w:szCs w:val="20"/>
            <w:lang w:eastAsia="tr-TR"/>
          </w:rPr>
          <w:t>ps://doi.org/10.4449/aib.v148i1.965</w:t>
        </w:r>
      </w:hyperlink>
    </w:p>
    <w:p w14:paraId="34170F0B" w14:textId="77777777"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Jacobs, C., Schwarzkopf, D. S., &amp; </w:t>
      </w:r>
      <w:proofErr w:type="spellStart"/>
      <w:r w:rsidRPr="0060578E">
        <w:rPr>
          <w:szCs w:val="20"/>
          <w:lang w:eastAsia="tr-TR"/>
        </w:rPr>
        <w:t>Silvanto</w:t>
      </w:r>
      <w:proofErr w:type="spellEnd"/>
      <w:r w:rsidRPr="0060578E">
        <w:rPr>
          <w:szCs w:val="20"/>
          <w:lang w:eastAsia="tr-TR"/>
        </w:rPr>
        <w:t xml:space="preserve">, J. (2018). Visual working memory performance in aphantasia. </w:t>
      </w:r>
      <w:r w:rsidRPr="00F83162">
        <w:rPr>
          <w:i/>
          <w:iCs/>
          <w:szCs w:val="20"/>
          <w:lang w:eastAsia="tr-TR"/>
        </w:rPr>
        <w:t>Cortex</w:t>
      </w:r>
      <w:r w:rsidRPr="0060578E">
        <w:rPr>
          <w:szCs w:val="20"/>
          <w:lang w:eastAsia="tr-TR"/>
        </w:rPr>
        <w:t xml:space="preserve">, 105, 61-73. </w:t>
      </w:r>
      <w:hyperlink r:id="rId17" w:tgtFrame="_blank" w:tooltip="Persistent link using digital object identifier" w:history="1">
        <w:r w:rsidRPr="0060578E">
          <w:t>https://doi.org/10.1016/j.cortex.2017.10.014</w:t>
        </w:r>
      </w:hyperlink>
    </w:p>
    <w:p w14:paraId="7D89F193" w14:textId="0B7907BA" w:rsidR="00C74A34" w:rsidRDefault="00C74A34" w:rsidP="0060578E">
      <w:pPr>
        <w:widowControl w:val="0"/>
        <w:spacing w:line="360" w:lineRule="auto"/>
        <w:ind w:left="720" w:hanging="720"/>
        <w:rPr>
          <w:szCs w:val="20"/>
          <w:lang w:eastAsia="tr-TR"/>
        </w:rPr>
      </w:pPr>
      <w:r w:rsidRPr="00C74A34">
        <w:rPr>
          <w:szCs w:val="20"/>
          <w:lang w:eastAsia="tr-TR"/>
        </w:rPr>
        <w:t xml:space="preserve">Kay, L., Keogh, R., &amp; Pearson, J. (2024). Slower but more accurate mental rotation performance in aphantasia linked to differences in cognitive strategies. </w:t>
      </w:r>
      <w:r w:rsidRPr="00C74A34">
        <w:rPr>
          <w:i/>
          <w:iCs/>
          <w:szCs w:val="20"/>
          <w:lang w:eastAsia="tr-TR"/>
        </w:rPr>
        <w:t xml:space="preserve">Consciousness and </w:t>
      </w:r>
      <w:r w:rsidRPr="00C74A34">
        <w:rPr>
          <w:i/>
          <w:iCs/>
          <w:szCs w:val="20"/>
          <w:lang w:eastAsia="tr-TR"/>
        </w:rPr>
        <w:t>C</w:t>
      </w:r>
      <w:r w:rsidRPr="00C74A34">
        <w:rPr>
          <w:i/>
          <w:iCs/>
          <w:szCs w:val="20"/>
          <w:lang w:eastAsia="tr-TR"/>
        </w:rPr>
        <w:t>ognition</w:t>
      </w:r>
      <w:r w:rsidRPr="00C74A34">
        <w:rPr>
          <w:szCs w:val="20"/>
          <w:lang w:eastAsia="tr-TR"/>
        </w:rPr>
        <w:t>, 121, 103694.</w:t>
      </w:r>
      <w:r w:rsidRPr="00C74A34">
        <w:t xml:space="preserve"> </w:t>
      </w:r>
      <w:hyperlink r:id="rId18" w:history="1">
        <w:r w:rsidRPr="00FB1D09">
          <w:rPr>
            <w:rStyle w:val="Kpr"/>
            <w:szCs w:val="20"/>
            <w:lang w:eastAsia="tr-TR"/>
          </w:rPr>
          <w:t>https://doi.org/10.1016/j.concog.2024.103694</w:t>
        </w:r>
      </w:hyperlink>
      <w:r>
        <w:rPr>
          <w:szCs w:val="20"/>
          <w:lang w:eastAsia="tr-TR"/>
        </w:rPr>
        <w:t xml:space="preserve"> </w:t>
      </w:r>
    </w:p>
    <w:p w14:paraId="73A8F65B" w14:textId="17359460" w:rsidR="0060578E" w:rsidRDefault="0060578E" w:rsidP="0060578E">
      <w:pPr>
        <w:widowControl w:val="0"/>
        <w:spacing w:line="360" w:lineRule="auto"/>
        <w:ind w:left="720" w:hanging="720"/>
        <w:rPr>
          <w:lang w:eastAsia="tr-TR"/>
        </w:rPr>
      </w:pPr>
      <w:r w:rsidRPr="0060578E">
        <w:rPr>
          <w:szCs w:val="20"/>
          <w:lang w:eastAsia="tr-TR"/>
        </w:rPr>
        <w:t xml:space="preserve">Keogh, R., and Pearson, J. (2017). The blind mind: No sensory visual imagery in aphantasia, </w:t>
      </w:r>
      <w:r w:rsidRPr="00F83162">
        <w:rPr>
          <w:i/>
          <w:iCs/>
          <w:szCs w:val="20"/>
          <w:lang w:eastAsia="tr-TR"/>
        </w:rPr>
        <w:t>Cortex</w:t>
      </w:r>
      <w:r w:rsidRPr="0060578E">
        <w:rPr>
          <w:szCs w:val="20"/>
          <w:lang w:eastAsia="tr-TR"/>
        </w:rPr>
        <w:t xml:space="preserve">, 105, 53-60. </w:t>
      </w:r>
      <w:hyperlink r:id="rId19" w:tgtFrame="_blank" w:tooltip="Persistent link using digital object identifier" w:history="1">
        <w:r w:rsidRPr="0060578E">
          <w:t>https://doi.org/10.1016/j.cortex.2017.10.012</w:t>
        </w:r>
      </w:hyperlink>
    </w:p>
    <w:p w14:paraId="0A8FBD51" w14:textId="3CAABE24" w:rsidR="005E38B1" w:rsidRPr="0060578E" w:rsidRDefault="005E38B1" w:rsidP="0060578E">
      <w:pPr>
        <w:widowControl w:val="0"/>
        <w:spacing w:line="360" w:lineRule="auto"/>
        <w:ind w:left="720" w:hanging="720"/>
        <w:rPr>
          <w:szCs w:val="20"/>
          <w:lang w:eastAsia="tr-TR"/>
        </w:rPr>
      </w:pPr>
      <w:r w:rsidRPr="005E38B1">
        <w:rPr>
          <w:szCs w:val="20"/>
          <w:lang w:eastAsia="tr-TR"/>
        </w:rPr>
        <w:t xml:space="preserve">Keogh, R., </w:t>
      </w:r>
      <w:proofErr w:type="spellStart"/>
      <w:r w:rsidRPr="005E38B1">
        <w:rPr>
          <w:szCs w:val="20"/>
          <w:lang w:eastAsia="tr-TR"/>
        </w:rPr>
        <w:t>Wicken</w:t>
      </w:r>
      <w:proofErr w:type="spellEnd"/>
      <w:r w:rsidRPr="005E38B1">
        <w:rPr>
          <w:szCs w:val="20"/>
          <w:lang w:eastAsia="tr-TR"/>
        </w:rPr>
        <w:t xml:space="preserve">, M., &amp; Pearson, J. (2021). Visual working memory in aphantasia: Retained accuracy and capacity with a different strategy. </w:t>
      </w:r>
      <w:r w:rsidRPr="005E38B1">
        <w:rPr>
          <w:i/>
          <w:iCs/>
          <w:szCs w:val="20"/>
          <w:lang w:eastAsia="tr-TR"/>
        </w:rPr>
        <w:t>Cortex</w:t>
      </w:r>
      <w:r w:rsidRPr="005E38B1">
        <w:rPr>
          <w:szCs w:val="20"/>
          <w:lang w:eastAsia="tr-TR"/>
        </w:rPr>
        <w:t>, 143, 237-253.</w:t>
      </w:r>
      <w:r>
        <w:rPr>
          <w:szCs w:val="20"/>
          <w:lang w:eastAsia="tr-TR"/>
        </w:rPr>
        <w:t xml:space="preserve"> </w:t>
      </w:r>
      <w:hyperlink r:id="rId20" w:history="1">
        <w:r w:rsidRPr="00FB1D09">
          <w:rPr>
            <w:rStyle w:val="Kpr"/>
            <w:szCs w:val="20"/>
            <w:lang w:eastAsia="tr-TR"/>
          </w:rPr>
          <w:t>https://doi.org/10.1016/j.cortex.2021.07.012</w:t>
        </w:r>
      </w:hyperlink>
      <w:r>
        <w:rPr>
          <w:szCs w:val="20"/>
          <w:lang w:eastAsia="tr-TR"/>
        </w:rPr>
        <w:t xml:space="preserve"> </w:t>
      </w:r>
    </w:p>
    <w:p w14:paraId="21121BF5" w14:textId="1F5BD534" w:rsidR="00C17319" w:rsidRDefault="00C17319" w:rsidP="0060578E">
      <w:pPr>
        <w:widowControl w:val="0"/>
        <w:spacing w:line="360" w:lineRule="auto"/>
        <w:ind w:left="720" w:hanging="720"/>
        <w:rPr>
          <w:szCs w:val="20"/>
          <w:lang w:eastAsia="tr-TR"/>
        </w:rPr>
      </w:pPr>
      <w:r w:rsidRPr="00C17319">
        <w:rPr>
          <w:szCs w:val="20"/>
          <w:lang w:eastAsia="tr-TR"/>
        </w:rPr>
        <w:t xml:space="preserve">Liu, J., &amp; Bartolomeo, P. (2023). Probing the unimaginable: The impact of aphantasia on distinct domains of visual mental imagery and visual perception. </w:t>
      </w:r>
      <w:r w:rsidRPr="00C17319">
        <w:rPr>
          <w:i/>
          <w:iCs/>
          <w:szCs w:val="20"/>
          <w:lang w:eastAsia="tr-TR"/>
        </w:rPr>
        <w:t>Cortex</w:t>
      </w:r>
      <w:r w:rsidRPr="00C17319">
        <w:rPr>
          <w:szCs w:val="20"/>
          <w:lang w:eastAsia="tr-TR"/>
        </w:rPr>
        <w:t>, 166, 338-347.</w:t>
      </w:r>
      <w:r>
        <w:rPr>
          <w:szCs w:val="20"/>
          <w:lang w:eastAsia="tr-TR"/>
        </w:rPr>
        <w:t xml:space="preserve"> </w:t>
      </w:r>
      <w:hyperlink r:id="rId21" w:history="1">
        <w:r w:rsidRPr="00FB1D09">
          <w:rPr>
            <w:rStyle w:val="Kpr"/>
            <w:szCs w:val="20"/>
            <w:lang w:eastAsia="tr-TR"/>
          </w:rPr>
          <w:t>https://doi.org/10.1016/j.cortex.2023.06.003</w:t>
        </w:r>
      </w:hyperlink>
      <w:r>
        <w:rPr>
          <w:szCs w:val="20"/>
          <w:lang w:eastAsia="tr-TR"/>
        </w:rPr>
        <w:t xml:space="preserve"> </w:t>
      </w:r>
    </w:p>
    <w:p w14:paraId="33FFE756" w14:textId="55044D30"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McCarthy, B. (1987). </w:t>
      </w:r>
      <w:r w:rsidRPr="00F83162">
        <w:rPr>
          <w:i/>
          <w:iCs/>
          <w:szCs w:val="20"/>
          <w:lang w:eastAsia="tr-TR"/>
        </w:rPr>
        <w:t>The</w:t>
      </w:r>
      <w:r w:rsidR="00F83162">
        <w:rPr>
          <w:i/>
          <w:iCs/>
          <w:szCs w:val="20"/>
          <w:lang w:eastAsia="tr-TR"/>
        </w:rPr>
        <w:t xml:space="preserve"> M</w:t>
      </w:r>
      <w:r w:rsidRPr="00F83162">
        <w:rPr>
          <w:i/>
          <w:iCs/>
          <w:szCs w:val="20"/>
          <w:lang w:eastAsia="tr-TR"/>
        </w:rPr>
        <w:t xml:space="preserve">at </w:t>
      </w:r>
      <w:r w:rsidR="00F83162">
        <w:rPr>
          <w:i/>
          <w:iCs/>
          <w:szCs w:val="20"/>
          <w:lang w:eastAsia="tr-TR"/>
        </w:rPr>
        <w:t>S</w:t>
      </w:r>
      <w:r w:rsidRPr="00F83162">
        <w:rPr>
          <w:i/>
          <w:iCs/>
          <w:szCs w:val="20"/>
          <w:lang w:eastAsia="tr-TR"/>
        </w:rPr>
        <w:t xml:space="preserve">ystem: </w:t>
      </w:r>
      <w:r w:rsidR="00F83162">
        <w:rPr>
          <w:i/>
          <w:iCs/>
          <w:szCs w:val="20"/>
          <w:lang w:eastAsia="tr-TR"/>
        </w:rPr>
        <w:t>T</w:t>
      </w:r>
      <w:r w:rsidRPr="00F83162">
        <w:rPr>
          <w:i/>
          <w:iCs/>
          <w:szCs w:val="20"/>
          <w:lang w:eastAsia="tr-TR"/>
        </w:rPr>
        <w:t xml:space="preserve">eaching to </w:t>
      </w:r>
      <w:r w:rsidR="00F83162">
        <w:rPr>
          <w:i/>
          <w:iCs/>
          <w:szCs w:val="20"/>
          <w:lang w:eastAsia="tr-TR"/>
        </w:rPr>
        <w:t>L</w:t>
      </w:r>
      <w:r w:rsidRPr="00F83162">
        <w:rPr>
          <w:i/>
          <w:iCs/>
          <w:szCs w:val="20"/>
          <w:lang w:eastAsia="tr-TR"/>
        </w:rPr>
        <w:t xml:space="preserve">earning </w:t>
      </w:r>
      <w:r w:rsidR="00F83162">
        <w:rPr>
          <w:i/>
          <w:iCs/>
          <w:szCs w:val="20"/>
          <w:lang w:eastAsia="tr-TR"/>
        </w:rPr>
        <w:t>S</w:t>
      </w:r>
      <w:r w:rsidRPr="00F83162">
        <w:rPr>
          <w:i/>
          <w:iCs/>
          <w:szCs w:val="20"/>
          <w:lang w:eastAsia="tr-TR"/>
        </w:rPr>
        <w:t xml:space="preserve">tyles </w:t>
      </w:r>
      <w:proofErr w:type="gramStart"/>
      <w:r w:rsidR="00F83162">
        <w:rPr>
          <w:i/>
          <w:iCs/>
          <w:szCs w:val="20"/>
          <w:lang w:eastAsia="tr-TR"/>
        </w:rPr>
        <w:t>W</w:t>
      </w:r>
      <w:r w:rsidRPr="00F83162">
        <w:rPr>
          <w:i/>
          <w:iCs/>
          <w:szCs w:val="20"/>
          <w:lang w:eastAsia="tr-TR"/>
        </w:rPr>
        <w:t>ith</w:t>
      </w:r>
      <w:proofErr w:type="gramEnd"/>
      <w:r w:rsidRPr="00F83162">
        <w:rPr>
          <w:i/>
          <w:iCs/>
          <w:szCs w:val="20"/>
          <w:lang w:eastAsia="tr-TR"/>
        </w:rPr>
        <w:t xml:space="preserve"> </w:t>
      </w:r>
      <w:r w:rsidR="00F83162">
        <w:rPr>
          <w:i/>
          <w:iCs/>
          <w:szCs w:val="20"/>
          <w:lang w:eastAsia="tr-TR"/>
        </w:rPr>
        <w:t>R</w:t>
      </w:r>
      <w:r w:rsidRPr="00F83162">
        <w:rPr>
          <w:i/>
          <w:iCs/>
          <w:szCs w:val="20"/>
          <w:lang w:eastAsia="tr-TR"/>
        </w:rPr>
        <w:t xml:space="preserve">ight / </w:t>
      </w:r>
      <w:r w:rsidR="00F83162">
        <w:rPr>
          <w:i/>
          <w:iCs/>
          <w:szCs w:val="20"/>
          <w:lang w:eastAsia="tr-TR"/>
        </w:rPr>
        <w:t>L</w:t>
      </w:r>
      <w:r w:rsidRPr="00F83162">
        <w:rPr>
          <w:i/>
          <w:iCs/>
          <w:szCs w:val="20"/>
          <w:lang w:eastAsia="tr-TR"/>
        </w:rPr>
        <w:t xml:space="preserve">eft </w:t>
      </w:r>
      <w:r w:rsidR="00F83162">
        <w:rPr>
          <w:i/>
          <w:iCs/>
          <w:szCs w:val="20"/>
          <w:lang w:eastAsia="tr-TR"/>
        </w:rPr>
        <w:t>M</w:t>
      </w:r>
      <w:r w:rsidRPr="00F83162">
        <w:rPr>
          <w:i/>
          <w:iCs/>
          <w:szCs w:val="20"/>
          <w:lang w:eastAsia="tr-TR"/>
        </w:rPr>
        <w:t xml:space="preserve">ode </w:t>
      </w:r>
      <w:r w:rsidR="00F83162">
        <w:rPr>
          <w:i/>
          <w:iCs/>
          <w:szCs w:val="20"/>
          <w:lang w:eastAsia="tr-TR"/>
        </w:rPr>
        <w:t>T</w:t>
      </w:r>
      <w:r w:rsidRPr="00F83162">
        <w:rPr>
          <w:i/>
          <w:iCs/>
          <w:szCs w:val="20"/>
          <w:lang w:eastAsia="tr-TR"/>
        </w:rPr>
        <w:t>echniques</w:t>
      </w:r>
      <w:r w:rsidRPr="0060578E">
        <w:rPr>
          <w:szCs w:val="20"/>
          <w:lang w:eastAsia="tr-TR"/>
        </w:rPr>
        <w:t xml:space="preserve">. Barrington: Excel. </w:t>
      </w:r>
    </w:p>
    <w:p w14:paraId="7B5AA5D4" w14:textId="1AC084C0"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McManus, I., Keeling, A., and </w:t>
      </w:r>
      <w:proofErr w:type="spellStart"/>
      <w:r w:rsidRPr="0060578E">
        <w:rPr>
          <w:szCs w:val="20"/>
          <w:lang w:eastAsia="tr-TR"/>
        </w:rPr>
        <w:t>Paice</w:t>
      </w:r>
      <w:proofErr w:type="spellEnd"/>
      <w:r w:rsidRPr="0060578E">
        <w:rPr>
          <w:szCs w:val="20"/>
          <w:lang w:eastAsia="tr-TR"/>
        </w:rPr>
        <w:t xml:space="preserve">, E. (2004). Stress, burnout and doctors' attitudes to work are determined by personality and learning style: A </w:t>
      </w:r>
      <w:proofErr w:type="gramStart"/>
      <w:r w:rsidRPr="0060578E">
        <w:rPr>
          <w:szCs w:val="20"/>
          <w:lang w:eastAsia="tr-TR"/>
        </w:rPr>
        <w:t>twelve year</w:t>
      </w:r>
      <w:proofErr w:type="gramEnd"/>
      <w:r w:rsidRPr="0060578E">
        <w:rPr>
          <w:szCs w:val="20"/>
          <w:lang w:eastAsia="tr-TR"/>
        </w:rPr>
        <w:t xml:space="preserve"> longitudinal study of UK medical graduates. </w:t>
      </w:r>
      <w:r w:rsidRPr="00F83162">
        <w:rPr>
          <w:i/>
          <w:iCs/>
          <w:szCs w:val="20"/>
          <w:lang w:eastAsia="tr-TR"/>
        </w:rPr>
        <w:t>BMC Medicine</w:t>
      </w:r>
      <w:r w:rsidRPr="0060578E">
        <w:rPr>
          <w:szCs w:val="20"/>
          <w:lang w:eastAsia="tr-TR"/>
        </w:rPr>
        <w:t>,</w:t>
      </w:r>
      <w:r w:rsidR="00F83162" w:rsidRPr="00F83162">
        <w:rPr>
          <w:szCs w:val="20"/>
          <w:lang w:eastAsia="tr-TR"/>
        </w:rPr>
        <w:t xml:space="preserve"> </w:t>
      </w:r>
      <w:r w:rsidR="00F83162" w:rsidRPr="0060578E">
        <w:rPr>
          <w:szCs w:val="20"/>
          <w:lang w:eastAsia="tr-TR"/>
        </w:rPr>
        <w:t>2, 1-12</w:t>
      </w:r>
      <w:r w:rsidRPr="0060578E">
        <w:rPr>
          <w:szCs w:val="20"/>
          <w:lang w:eastAsia="tr-TR"/>
        </w:rPr>
        <w:t xml:space="preserve"> </w:t>
      </w:r>
      <w:hyperlink r:id="rId22" w:history="1">
        <w:r w:rsidRPr="0060578E">
          <w:t>https://doi.org/10.1186/1741-7015-2-29</w:t>
        </w:r>
      </w:hyperlink>
      <w:r w:rsidRPr="0060578E">
        <w:rPr>
          <w:szCs w:val="20"/>
          <w:lang w:eastAsia="tr-TR"/>
        </w:rPr>
        <w:t xml:space="preserve"> </w:t>
      </w:r>
    </w:p>
    <w:p w14:paraId="5F98C32E" w14:textId="7FF4C60D"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Piaget, J. (2003). Part I: Cognitive </w:t>
      </w:r>
      <w:r w:rsidR="00E97B76">
        <w:rPr>
          <w:szCs w:val="20"/>
          <w:lang w:eastAsia="tr-TR"/>
        </w:rPr>
        <w:t>d</w:t>
      </w:r>
      <w:r w:rsidRPr="0060578E">
        <w:rPr>
          <w:szCs w:val="20"/>
          <w:lang w:eastAsia="tr-TR"/>
        </w:rPr>
        <w:t xml:space="preserve">evelopment in </w:t>
      </w:r>
      <w:r w:rsidR="00E97B76">
        <w:rPr>
          <w:szCs w:val="20"/>
          <w:lang w:eastAsia="tr-TR"/>
        </w:rPr>
        <w:t>c</w:t>
      </w:r>
      <w:r w:rsidRPr="0060578E">
        <w:rPr>
          <w:szCs w:val="20"/>
          <w:lang w:eastAsia="tr-TR"/>
        </w:rPr>
        <w:t>hildren--</w:t>
      </w:r>
      <w:r w:rsidR="00E97B76">
        <w:rPr>
          <w:szCs w:val="20"/>
          <w:lang w:eastAsia="tr-TR"/>
        </w:rPr>
        <w:t>P</w:t>
      </w:r>
      <w:r w:rsidRPr="0060578E">
        <w:rPr>
          <w:szCs w:val="20"/>
          <w:lang w:eastAsia="tr-TR"/>
        </w:rPr>
        <w:t xml:space="preserve">iaget </w:t>
      </w:r>
      <w:r w:rsidR="00E97B76">
        <w:rPr>
          <w:szCs w:val="20"/>
          <w:lang w:eastAsia="tr-TR"/>
        </w:rPr>
        <w:t>d</w:t>
      </w:r>
      <w:r w:rsidRPr="0060578E">
        <w:rPr>
          <w:szCs w:val="20"/>
          <w:lang w:eastAsia="tr-TR"/>
        </w:rPr>
        <w:t xml:space="preserve">evelopment and </w:t>
      </w:r>
      <w:r w:rsidR="00E97B76">
        <w:rPr>
          <w:szCs w:val="20"/>
          <w:lang w:eastAsia="tr-TR"/>
        </w:rPr>
        <w:t>l</w:t>
      </w:r>
      <w:r w:rsidRPr="0060578E">
        <w:rPr>
          <w:szCs w:val="20"/>
          <w:lang w:eastAsia="tr-TR"/>
        </w:rPr>
        <w:t>earning. </w:t>
      </w:r>
      <w:r w:rsidRPr="00E97B76">
        <w:rPr>
          <w:i/>
          <w:iCs/>
          <w:szCs w:val="20"/>
          <w:lang w:eastAsia="tr-TR"/>
        </w:rPr>
        <w:t xml:space="preserve">Journal of </w:t>
      </w:r>
      <w:r w:rsidR="00E97B76" w:rsidRPr="00E97B76">
        <w:rPr>
          <w:i/>
          <w:iCs/>
          <w:szCs w:val="20"/>
          <w:lang w:eastAsia="tr-TR"/>
        </w:rPr>
        <w:t>R</w:t>
      </w:r>
      <w:r w:rsidRPr="00E97B76">
        <w:rPr>
          <w:i/>
          <w:iCs/>
          <w:szCs w:val="20"/>
          <w:lang w:eastAsia="tr-TR"/>
        </w:rPr>
        <w:t xml:space="preserve">esearch </w:t>
      </w:r>
      <w:r w:rsidR="00E97B76" w:rsidRPr="00E97B76">
        <w:rPr>
          <w:i/>
          <w:iCs/>
          <w:szCs w:val="20"/>
          <w:lang w:eastAsia="tr-TR"/>
        </w:rPr>
        <w:t>I</w:t>
      </w:r>
      <w:r w:rsidRPr="00E97B76">
        <w:rPr>
          <w:i/>
          <w:iCs/>
          <w:szCs w:val="20"/>
          <w:lang w:eastAsia="tr-TR"/>
        </w:rPr>
        <w:t xml:space="preserve">n </w:t>
      </w:r>
      <w:r w:rsidR="00E97B76" w:rsidRPr="00E97B76">
        <w:rPr>
          <w:i/>
          <w:iCs/>
          <w:szCs w:val="20"/>
          <w:lang w:eastAsia="tr-TR"/>
        </w:rPr>
        <w:t>S</w:t>
      </w:r>
      <w:r w:rsidRPr="00E97B76">
        <w:rPr>
          <w:i/>
          <w:iCs/>
          <w:szCs w:val="20"/>
          <w:lang w:eastAsia="tr-TR"/>
        </w:rPr>
        <w:t xml:space="preserve">cience </w:t>
      </w:r>
      <w:r w:rsidR="00E97B76" w:rsidRPr="00E97B76">
        <w:rPr>
          <w:i/>
          <w:iCs/>
          <w:szCs w:val="20"/>
          <w:lang w:eastAsia="tr-TR"/>
        </w:rPr>
        <w:t>T</w:t>
      </w:r>
      <w:r w:rsidRPr="00E97B76">
        <w:rPr>
          <w:i/>
          <w:iCs/>
          <w:szCs w:val="20"/>
          <w:lang w:eastAsia="tr-TR"/>
        </w:rPr>
        <w:t>eaching</w:t>
      </w:r>
      <w:r w:rsidRPr="0060578E">
        <w:rPr>
          <w:szCs w:val="20"/>
          <w:lang w:eastAsia="tr-TR"/>
        </w:rPr>
        <w:t xml:space="preserve">, 40th </w:t>
      </w:r>
      <w:hyperlink r:id="rId23" w:history="1">
        <w:r w:rsidRPr="0060578E">
          <w:rPr>
            <w:szCs w:val="20"/>
            <w:lang w:eastAsia="tr-TR"/>
          </w:rPr>
          <w:t>https://psychscenehub.com/wp-content/uploads/2021/03/Piaget-Cognitive-Development-in-Children.pdf</w:t>
        </w:r>
      </w:hyperlink>
    </w:p>
    <w:p w14:paraId="02849DA5" w14:textId="77777777"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Sadoski, M., Goetz, E.T., and </w:t>
      </w:r>
      <w:proofErr w:type="spellStart"/>
      <w:r w:rsidRPr="0060578E">
        <w:rPr>
          <w:szCs w:val="20"/>
          <w:lang w:eastAsia="tr-TR"/>
        </w:rPr>
        <w:t>Kangiser</w:t>
      </w:r>
      <w:proofErr w:type="spellEnd"/>
      <w:r w:rsidRPr="0060578E">
        <w:rPr>
          <w:szCs w:val="20"/>
          <w:lang w:eastAsia="tr-TR"/>
        </w:rPr>
        <w:t xml:space="preserve">, S. (1988). Imagination in story response: Relationships between imagery, affect, and structural importance. </w:t>
      </w:r>
      <w:r w:rsidRPr="00E97B76">
        <w:rPr>
          <w:i/>
          <w:iCs/>
          <w:szCs w:val="20"/>
          <w:lang w:eastAsia="tr-TR"/>
        </w:rPr>
        <w:t>Reading Research Quarterly</w:t>
      </w:r>
      <w:r w:rsidRPr="0060578E">
        <w:rPr>
          <w:szCs w:val="20"/>
          <w:lang w:eastAsia="tr-TR"/>
        </w:rPr>
        <w:t xml:space="preserve">, 23, 320-336. </w:t>
      </w:r>
      <w:hyperlink r:id="rId24" w:history="1">
        <w:r w:rsidRPr="0060578E">
          <w:t>https://doi.org/10.2307/748045</w:t>
        </w:r>
      </w:hyperlink>
    </w:p>
    <w:p w14:paraId="34A085EE" w14:textId="77777777" w:rsidR="0060578E" w:rsidRPr="0060578E" w:rsidRDefault="0060578E" w:rsidP="0060578E">
      <w:pPr>
        <w:widowControl w:val="0"/>
        <w:spacing w:line="360" w:lineRule="auto"/>
        <w:ind w:left="720" w:hanging="720"/>
        <w:rPr>
          <w:szCs w:val="20"/>
          <w:lang w:eastAsia="tr-TR"/>
        </w:rPr>
      </w:pPr>
      <w:r w:rsidRPr="0060578E">
        <w:rPr>
          <w:szCs w:val="20"/>
          <w:lang w:eastAsia="tr-TR"/>
        </w:rPr>
        <w:t xml:space="preserve">Schuster, C., </w:t>
      </w:r>
      <w:proofErr w:type="spellStart"/>
      <w:r w:rsidRPr="0060578E">
        <w:rPr>
          <w:szCs w:val="20"/>
          <w:lang w:eastAsia="tr-TR"/>
        </w:rPr>
        <w:t>Hilfiker</w:t>
      </w:r>
      <w:proofErr w:type="spellEnd"/>
      <w:r w:rsidRPr="0060578E">
        <w:rPr>
          <w:szCs w:val="20"/>
          <w:lang w:eastAsia="tr-TR"/>
        </w:rPr>
        <w:t xml:space="preserve">, R., </w:t>
      </w:r>
      <w:proofErr w:type="spellStart"/>
      <w:r w:rsidRPr="0060578E">
        <w:rPr>
          <w:szCs w:val="20"/>
          <w:lang w:eastAsia="tr-TR"/>
        </w:rPr>
        <w:t>Amft</w:t>
      </w:r>
      <w:proofErr w:type="spellEnd"/>
      <w:r w:rsidRPr="0060578E">
        <w:rPr>
          <w:szCs w:val="20"/>
          <w:lang w:eastAsia="tr-TR"/>
        </w:rPr>
        <w:t xml:space="preserve">, O., </w:t>
      </w:r>
      <w:proofErr w:type="spellStart"/>
      <w:r w:rsidRPr="0060578E">
        <w:rPr>
          <w:szCs w:val="20"/>
          <w:lang w:eastAsia="tr-TR"/>
        </w:rPr>
        <w:t>Scheidhauer</w:t>
      </w:r>
      <w:proofErr w:type="spellEnd"/>
      <w:r w:rsidRPr="0060578E">
        <w:rPr>
          <w:szCs w:val="20"/>
          <w:lang w:eastAsia="tr-TR"/>
        </w:rPr>
        <w:t xml:space="preserve">, A., Andrews, B., Butler, J., and </w:t>
      </w:r>
      <w:proofErr w:type="spellStart"/>
      <w:r w:rsidRPr="0060578E">
        <w:rPr>
          <w:szCs w:val="20"/>
          <w:lang w:eastAsia="tr-TR"/>
        </w:rPr>
        <w:t>Ettlin</w:t>
      </w:r>
      <w:proofErr w:type="spellEnd"/>
      <w:r w:rsidRPr="0060578E">
        <w:rPr>
          <w:szCs w:val="20"/>
          <w:lang w:eastAsia="tr-TR"/>
        </w:rPr>
        <w:t xml:space="preserve">, T. (2011). Best practice for motor imagery: a systematic literature review on motor imagery training elements in five different disciplines. </w:t>
      </w:r>
      <w:r w:rsidRPr="00E97B76">
        <w:rPr>
          <w:i/>
          <w:iCs/>
          <w:szCs w:val="20"/>
          <w:lang w:eastAsia="tr-TR"/>
        </w:rPr>
        <w:t>BMC medicine, 9</w:t>
      </w:r>
      <w:r w:rsidRPr="0060578E">
        <w:rPr>
          <w:szCs w:val="20"/>
          <w:lang w:eastAsia="tr-TR"/>
        </w:rPr>
        <w:t xml:space="preserve">(1), 1-35. </w:t>
      </w:r>
      <w:hyperlink r:id="rId25" w:history="1">
        <w:r w:rsidRPr="0060578E">
          <w:rPr>
            <w:szCs w:val="20"/>
            <w:lang w:eastAsia="tr-TR"/>
          </w:rPr>
          <w:t>https://bmcmedicine.biomedcentral.com/articles/10.1186/1741-7015-9-75</w:t>
        </w:r>
      </w:hyperlink>
    </w:p>
    <w:p w14:paraId="0D3EBDC7" w14:textId="77777777"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Vermunt</w:t>
      </w:r>
      <w:proofErr w:type="spellEnd"/>
      <w:r w:rsidRPr="0060578E">
        <w:rPr>
          <w:szCs w:val="20"/>
          <w:lang w:eastAsia="tr-TR"/>
        </w:rPr>
        <w:t xml:space="preserve">, J., and Vermetten, Y. (2004). Patterns in student learning: relationships between learning strategies, conceptions of learning, and learning orientations. </w:t>
      </w:r>
      <w:r w:rsidRPr="00E97B76">
        <w:rPr>
          <w:i/>
          <w:iCs/>
          <w:szCs w:val="20"/>
          <w:lang w:eastAsia="tr-TR"/>
        </w:rPr>
        <w:t>Educational Psychology Review</w:t>
      </w:r>
      <w:r w:rsidRPr="0060578E">
        <w:rPr>
          <w:szCs w:val="20"/>
          <w:lang w:eastAsia="tr-TR"/>
        </w:rPr>
        <w:t xml:space="preserve">, 16, 359-384. </w:t>
      </w:r>
      <w:hyperlink r:id="rId26" w:history="1">
        <w:r w:rsidRPr="0060578E">
          <w:t>https://doi.org/10.1007/s10648-004-0005-y</w:t>
        </w:r>
      </w:hyperlink>
    </w:p>
    <w:p w14:paraId="3B033C42" w14:textId="355564FD"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Vermunt</w:t>
      </w:r>
      <w:proofErr w:type="spellEnd"/>
      <w:r w:rsidRPr="0060578E">
        <w:rPr>
          <w:szCs w:val="20"/>
          <w:lang w:eastAsia="tr-TR"/>
        </w:rPr>
        <w:t xml:space="preserve">, J.D. (1994). "Design </w:t>
      </w:r>
      <w:r w:rsidR="00E97B76">
        <w:rPr>
          <w:szCs w:val="20"/>
          <w:lang w:eastAsia="tr-TR"/>
        </w:rPr>
        <w:t>P</w:t>
      </w:r>
      <w:r w:rsidRPr="0060578E">
        <w:rPr>
          <w:szCs w:val="20"/>
          <w:lang w:eastAsia="tr-TR"/>
        </w:rPr>
        <w:t xml:space="preserve">rinciples of </w:t>
      </w:r>
      <w:r w:rsidR="00E97B76">
        <w:rPr>
          <w:szCs w:val="20"/>
          <w:lang w:eastAsia="tr-TR"/>
        </w:rPr>
        <w:t>P</w:t>
      </w:r>
      <w:r w:rsidRPr="0060578E">
        <w:rPr>
          <w:szCs w:val="20"/>
          <w:lang w:eastAsia="tr-TR"/>
        </w:rPr>
        <w:t>rocess-</w:t>
      </w:r>
      <w:r w:rsidR="00E97B76">
        <w:rPr>
          <w:szCs w:val="20"/>
          <w:lang w:eastAsia="tr-TR"/>
        </w:rPr>
        <w:t>O</w:t>
      </w:r>
      <w:r w:rsidRPr="0060578E">
        <w:rPr>
          <w:szCs w:val="20"/>
          <w:lang w:eastAsia="tr-TR"/>
        </w:rPr>
        <w:t xml:space="preserve">riented </w:t>
      </w:r>
      <w:r w:rsidR="00E97B76">
        <w:rPr>
          <w:szCs w:val="20"/>
          <w:lang w:eastAsia="tr-TR"/>
        </w:rPr>
        <w:t>I</w:t>
      </w:r>
      <w:r w:rsidRPr="0060578E">
        <w:rPr>
          <w:szCs w:val="20"/>
          <w:lang w:eastAsia="tr-TR"/>
        </w:rPr>
        <w:t xml:space="preserve">nstruction", in De Jong, F.P.C.M. and Van Hout-Wolters B.H.A.M. (Eds.), </w:t>
      </w:r>
      <w:r w:rsidRPr="00E97B76">
        <w:rPr>
          <w:i/>
          <w:iCs/>
          <w:szCs w:val="20"/>
          <w:lang w:eastAsia="tr-TR"/>
        </w:rPr>
        <w:t>Process-</w:t>
      </w:r>
      <w:r w:rsidR="00E97B76" w:rsidRPr="00E97B76">
        <w:rPr>
          <w:i/>
          <w:iCs/>
          <w:szCs w:val="20"/>
          <w:lang w:eastAsia="tr-TR"/>
        </w:rPr>
        <w:t>O</w:t>
      </w:r>
      <w:r w:rsidRPr="00E97B76">
        <w:rPr>
          <w:i/>
          <w:iCs/>
          <w:szCs w:val="20"/>
          <w:lang w:eastAsia="tr-TR"/>
        </w:rPr>
        <w:t xml:space="preserve">riented </w:t>
      </w:r>
      <w:r w:rsidR="00E97B76" w:rsidRPr="00E97B76">
        <w:rPr>
          <w:i/>
          <w:iCs/>
          <w:szCs w:val="20"/>
          <w:lang w:eastAsia="tr-TR"/>
        </w:rPr>
        <w:t>I</w:t>
      </w:r>
      <w:r w:rsidRPr="00E97B76">
        <w:rPr>
          <w:i/>
          <w:iCs/>
          <w:szCs w:val="20"/>
          <w:lang w:eastAsia="tr-TR"/>
        </w:rPr>
        <w:t xml:space="preserve">nstruction and </w:t>
      </w:r>
      <w:r w:rsidR="00E97B76" w:rsidRPr="00E97B76">
        <w:rPr>
          <w:i/>
          <w:iCs/>
          <w:szCs w:val="20"/>
          <w:lang w:eastAsia="tr-TR"/>
        </w:rPr>
        <w:t>L</w:t>
      </w:r>
      <w:r w:rsidRPr="00E97B76">
        <w:rPr>
          <w:i/>
          <w:iCs/>
          <w:szCs w:val="20"/>
          <w:lang w:eastAsia="tr-TR"/>
        </w:rPr>
        <w:t>earning</w:t>
      </w:r>
      <w:r w:rsidRPr="0060578E">
        <w:rPr>
          <w:szCs w:val="20"/>
          <w:lang w:eastAsia="tr-TR"/>
        </w:rPr>
        <w:t xml:space="preserve"> from text. (pp. 15-26). </w:t>
      </w:r>
      <w:r w:rsidRPr="0060578E">
        <w:rPr>
          <w:szCs w:val="20"/>
          <w:lang w:eastAsia="tr-TR"/>
        </w:rPr>
        <w:lastRenderedPageBreak/>
        <w:t xml:space="preserve">Amsterdam: VU University Press. </w:t>
      </w:r>
    </w:p>
    <w:p w14:paraId="062B75F7" w14:textId="77777777"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Vermunt</w:t>
      </w:r>
      <w:proofErr w:type="spellEnd"/>
      <w:r w:rsidRPr="0060578E">
        <w:rPr>
          <w:szCs w:val="20"/>
          <w:lang w:eastAsia="tr-TR"/>
        </w:rPr>
        <w:t xml:space="preserve">, J.D. (1995). Process-oriented instruction in learning and thinking strategies. </w:t>
      </w:r>
      <w:r w:rsidRPr="00E97B76">
        <w:rPr>
          <w:i/>
          <w:iCs/>
          <w:szCs w:val="20"/>
          <w:lang w:eastAsia="tr-TR"/>
        </w:rPr>
        <w:t>European Journal of Psychology of Education</w:t>
      </w:r>
      <w:r w:rsidRPr="0060578E">
        <w:rPr>
          <w:szCs w:val="20"/>
          <w:lang w:eastAsia="tr-TR"/>
        </w:rPr>
        <w:t xml:space="preserve">, 10, 325-349. </w:t>
      </w:r>
      <w:hyperlink r:id="rId27" w:history="1">
        <w:r w:rsidRPr="0060578E">
          <w:t>https://doi.org/10.1007/BF03172925</w:t>
        </w:r>
      </w:hyperlink>
    </w:p>
    <w:p w14:paraId="4C592ADE" w14:textId="77777777"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Vermunt</w:t>
      </w:r>
      <w:proofErr w:type="spellEnd"/>
      <w:r w:rsidRPr="0060578E">
        <w:rPr>
          <w:szCs w:val="20"/>
          <w:lang w:eastAsia="tr-TR"/>
        </w:rPr>
        <w:t xml:space="preserve">, J.D. (1998). The regulation of constructive learning processes. </w:t>
      </w:r>
      <w:r w:rsidRPr="00E97B76">
        <w:rPr>
          <w:i/>
          <w:iCs/>
          <w:szCs w:val="20"/>
          <w:lang w:eastAsia="tr-TR"/>
        </w:rPr>
        <w:t>British Journal of Educational Psychology</w:t>
      </w:r>
      <w:r w:rsidRPr="0060578E">
        <w:rPr>
          <w:szCs w:val="20"/>
          <w:lang w:eastAsia="tr-TR"/>
        </w:rPr>
        <w:t xml:space="preserve">, 68, 149-171 </w:t>
      </w:r>
      <w:hyperlink r:id="rId28" w:history="1">
        <w:r w:rsidRPr="0060578E">
          <w:t>https://doi.org/10.1111/j.2044-8279.1998.tb01281.x</w:t>
        </w:r>
      </w:hyperlink>
    </w:p>
    <w:p w14:paraId="13CE71F3" w14:textId="77777777" w:rsidR="0060578E" w:rsidRPr="0060578E" w:rsidRDefault="0060578E" w:rsidP="0060578E">
      <w:pPr>
        <w:widowControl w:val="0"/>
        <w:spacing w:line="360" w:lineRule="auto"/>
        <w:ind w:left="720" w:hanging="720"/>
        <w:rPr>
          <w:szCs w:val="20"/>
          <w:lang w:eastAsia="tr-TR"/>
        </w:rPr>
      </w:pPr>
      <w:proofErr w:type="spellStart"/>
      <w:r w:rsidRPr="0060578E">
        <w:rPr>
          <w:szCs w:val="20"/>
          <w:lang w:eastAsia="tr-TR"/>
        </w:rPr>
        <w:t>Vermunt</w:t>
      </w:r>
      <w:proofErr w:type="spellEnd"/>
      <w:r w:rsidRPr="0060578E">
        <w:rPr>
          <w:szCs w:val="20"/>
          <w:lang w:eastAsia="tr-TR"/>
        </w:rPr>
        <w:t xml:space="preserve">, J.D. (2005). Relations between student learning patterns and personal and contextual factors and academic performance. </w:t>
      </w:r>
      <w:r w:rsidRPr="00E97B76">
        <w:rPr>
          <w:i/>
          <w:iCs/>
          <w:szCs w:val="20"/>
          <w:lang w:eastAsia="tr-TR"/>
        </w:rPr>
        <w:t>Higher Education</w:t>
      </w:r>
      <w:r w:rsidRPr="0060578E">
        <w:rPr>
          <w:szCs w:val="20"/>
          <w:lang w:eastAsia="tr-TR"/>
        </w:rPr>
        <w:t xml:space="preserve">, 49, 205-234. </w:t>
      </w:r>
      <w:hyperlink r:id="rId29" w:history="1">
        <w:r w:rsidRPr="0060578E">
          <w:t>https://doi.org/10.1007/s10734-004-6664-2</w:t>
        </w:r>
      </w:hyperlink>
    </w:p>
    <w:p w14:paraId="71F62EF2" w14:textId="2C8B33D7" w:rsidR="0060578E" w:rsidRPr="0060578E" w:rsidRDefault="0060578E" w:rsidP="0060578E">
      <w:pPr>
        <w:widowControl w:val="0"/>
        <w:spacing w:line="360" w:lineRule="auto"/>
        <w:ind w:left="720" w:hanging="720"/>
        <w:rPr>
          <w:szCs w:val="20"/>
          <w:lang w:eastAsia="tr-TR"/>
        </w:rPr>
      </w:pPr>
      <w:r w:rsidRPr="0060578E">
        <w:rPr>
          <w:szCs w:val="20"/>
          <w:lang w:eastAsia="tr-TR"/>
        </w:rPr>
        <w:t>Vygotsky, L. S., &amp; Cole, M. (1978). </w:t>
      </w:r>
      <w:r w:rsidRPr="00E97B76">
        <w:rPr>
          <w:i/>
          <w:iCs/>
          <w:szCs w:val="20"/>
          <w:lang w:eastAsia="tr-TR"/>
        </w:rPr>
        <w:t xml:space="preserve">Mind in </w:t>
      </w:r>
      <w:r w:rsidR="00E97B76" w:rsidRPr="00E97B76">
        <w:rPr>
          <w:i/>
          <w:iCs/>
          <w:szCs w:val="20"/>
          <w:lang w:eastAsia="tr-TR"/>
        </w:rPr>
        <w:t>S</w:t>
      </w:r>
      <w:r w:rsidRPr="00E97B76">
        <w:rPr>
          <w:i/>
          <w:iCs/>
          <w:szCs w:val="20"/>
          <w:lang w:eastAsia="tr-TR"/>
        </w:rPr>
        <w:t xml:space="preserve">ociety: Development of </w:t>
      </w:r>
      <w:r w:rsidR="00E97B76" w:rsidRPr="00E97B76">
        <w:rPr>
          <w:i/>
          <w:iCs/>
          <w:szCs w:val="20"/>
          <w:lang w:eastAsia="tr-TR"/>
        </w:rPr>
        <w:t>H</w:t>
      </w:r>
      <w:r w:rsidRPr="00E97B76">
        <w:rPr>
          <w:i/>
          <w:iCs/>
          <w:szCs w:val="20"/>
          <w:lang w:eastAsia="tr-TR"/>
        </w:rPr>
        <w:t xml:space="preserve">igher </w:t>
      </w:r>
      <w:r w:rsidR="00E97B76" w:rsidRPr="00E97B76">
        <w:rPr>
          <w:i/>
          <w:iCs/>
          <w:szCs w:val="20"/>
          <w:lang w:eastAsia="tr-TR"/>
        </w:rPr>
        <w:t>P</w:t>
      </w:r>
      <w:r w:rsidRPr="00E97B76">
        <w:rPr>
          <w:i/>
          <w:iCs/>
          <w:szCs w:val="20"/>
          <w:lang w:eastAsia="tr-TR"/>
        </w:rPr>
        <w:t xml:space="preserve">sychological </w:t>
      </w:r>
      <w:r w:rsidR="00E97B76" w:rsidRPr="00E97B76">
        <w:rPr>
          <w:i/>
          <w:iCs/>
          <w:szCs w:val="20"/>
          <w:lang w:eastAsia="tr-TR"/>
        </w:rPr>
        <w:t>P</w:t>
      </w:r>
      <w:r w:rsidRPr="00E97B76">
        <w:rPr>
          <w:i/>
          <w:iCs/>
          <w:szCs w:val="20"/>
          <w:lang w:eastAsia="tr-TR"/>
        </w:rPr>
        <w:t>rocesses.</w:t>
      </w:r>
      <w:r w:rsidRPr="0060578E">
        <w:rPr>
          <w:szCs w:val="20"/>
          <w:lang w:eastAsia="tr-TR"/>
        </w:rPr>
        <w:t xml:space="preserve"> Harvard University Press. </w:t>
      </w:r>
      <w:hyperlink r:id="rId30" w:anchor="v=onepage&amp;q=mind%20in%20society%20vygotsky&amp;f=false" w:history="1">
        <w:r w:rsidRPr="0060578E">
          <w:rPr>
            <w:szCs w:val="20"/>
            <w:lang w:eastAsia="tr-TR"/>
          </w:rPr>
          <w:t>https://books.google.com.tr/books?id=RxjjUefze_oC&amp;lpg=PA1&amp;ots=ojDUQ2p38q&amp;dq=mind%20in%20society%20vygotsky&amp;lr&amp;hl=tr&amp;pg=PA1#v=onepage&amp;q=mind%20in%20society%20vygotsky&amp;f=false</w:t>
        </w:r>
      </w:hyperlink>
    </w:p>
    <w:p w14:paraId="7711D538" w14:textId="371EFDD3" w:rsidR="007E2CFC" w:rsidRDefault="007E2CFC" w:rsidP="0060578E">
      <w:pPr>
        <w:widowControl w:val="0"/>
        <w:spacing w:line="360" w:lineRule="auto"/>
        <w:ind w:left="720" w:hanging="720"/>
        <w:rPr>
          <w:szCs w:val="20"/>
          <w:lang w:eastAsia="tr-TR"/>
        </w:rPr>
      </w:pPr>
      <w:r w:rsidRPr="007E2CFC">
        <w:rPr>
          <w:szCs w:val="20"/>
          <w:lang w:eastAsia="tr-TR"/>
        </w:rPr>
        <w:t xml:space="preserve">Westby, C. (2024). Aphantasia. </w:t>
      </w:r>
      <w:r w:rsidRPr="007E2CFC">
        <w:rPr>
          <w:i/>
          <w:iCs/>
          <w:szCs w:val="20"/>
          <w:lang w:eastAsia="tr-TR"/>
        </w:rPr>
        <w:t>Word of Mouth, 36</w:t>
      </w:r>
      <w:r w:rsidRPr="007E2CFC">
        <w:rPr>
          <w:szCs w:val="20"/>
          <w:lang w:eastAsia="tr-TR"/>
        </w:rPr>
        <w:t>(1), 9-12.</w:t>
      </w:r>
      <w:r>
        <w:rPr>
          <w:szCs w:val="20"/>
          <w:lang w:eastAsia="tr-TR"/>
        </w:rPr>
        <w:t xml:space="preserve"> </w:t>
      </w:r>
      <w:hyperlink r:id="rId31" w:history="1">
        <w:r w:rsidRPr="00FB1D09">
          <w:rPr>
            <w:rStyle w:val="Kpr"/>
            <w:szCs w:val="20"/>
            <w:lang w:eastAsia="tr-TR"/>
          </w:rPr>
          <w:t>https://doi.org/10.1177/10483950241263415b</w:t>
        </w:r>
      </w:hyperlink>
      <w:r>
        <w:rPr>
          <w:szCs w:val="20"/>
          <w:lang w:eastAsia="tr-TR"/>
        </w:rPr>
        <w:t xml:space="preserve"> </w:t>
      </w:r>
    </w:p>
    <w:p w14:paraId="0C73F88C" w14:textId="6EDB8889" w:rsidR="0060578E" w:rsidRPr="0060578E" w:rsidRDefault="0060578E" w:rsidP="0060578E">
      <w:pPr>
        <w:widowControl w:val="0"/>
        <w:spacing w:line="360" w:lineRule="auto"/>
        <w:ind w:left="720" w:hanging="720"/>
      </w:pPr>
      <w:r w:rsidRPr="0060578E">
        <w:rPr>
          <w:szCs w:val="20"/>
          <w:lang w:eastAsia="tr-TR"/>
        </w:rPr>
        <w:t xml:space="preserve">Zeman, A., Dewar, M., and Della Sala, S. (2015). Lives without imagery–congenital aphantasia. </w:t>
      </w:r>
      <w:r w:rsidRPr="00E97B76">
        <w:rPr>
          <w:i/>
          <w:iCs/>
          <w:szCs w:val="20"/>
          <w:lang w:eastAsia="tr-TR"/>
        </w:rPr>
        <w:t>Cortex</w:t>
      </w:r>
      <w:r w:rsidRPr="0060578E">
        <w:rPr>
          <w:szCs w:val="20"/>
          <w:lang w:eastAsia="tr-TR"/>
        </w:rPr>
        <w:t xml:space="preserve">, 73, 378-80. </w:t>
      </w:r>
      <w:hyperlink r:id="rId32" w:tgtFrame="_blank" w:tooltip="Persistent link using digital object identifier" w:history="1">
        <w:r w:rsidRPr="0060578E">
          <w:t>https://doi.org/10.1016/j.cortex.2015.05.019</w:t>
        </w:r>
      </w:hyperlink>
    </w:p>
    <w:p w14:paraId="10D44CDB" w14:textId="77777777" w:rsidR="0060578E" w:rsidRDefault="0060578E" w:rsidP="00D6757F">
      <w:pPr>
        <w:widowControl w:val="0"/>
        <w:spacing w:line="360" w:lineRule="auto"/>
        <w:ind w:left="720" w:hanging="720"/>
        <w:rPr>
          <w:szCs w:val="20"/>
          <w:lang w:eastAsia="tr-TR"/>
        </w:rPr>
      </w:pPr>
    </w:p>
    <w:p w14:paraId="117577A6" w14:textId="77777777" w:rsidR="0061751E" w:rsidRDefault="0061751E" w:rsidP="00D6757F">
      <w:pPr>
        <w:widowControl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40F274C3" w14:textId="77777777" w:rsidTr="004031CA">
        <w:trPr>
          <w:jc w:val="center"/>
        </w:trPr>
        <w:tc>
          <w:tcPr>
            <w:tcW w:w="8981" w:type="dxa"/>
            <w:gridSpan w:val="2"/>
            <w:tcBorders>
              <w:top w:val="single" w:sz="4" w:space="0" w:color="auto"/>
              <w:bottom w:val="single" w:sz="4" w:space="0" w:color="auto"/>
            </w:tcBorders>
            <w:shd w:val="clear" w:color="auto" w:fill="auto"/>
          </w:tcPr>
          <w:p w14:paraId="627BC2F1" w14:textId="77777777" w:rsidR="0061751E" w:rsidRPr="00273D1A" w:rsidRDefault="0061751E" w:rsidP="00D6757F">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14:paraId="34B241CB" w14:textId="77777777" w:rsidTr="004031CA">
        <w:trPr>
          <w:jc w:val="center"/>
        </w:trPr>
        <w:tc>
          <w:tcPr>
            <w:tcW w:w="4503" w:type="dxa"/>
            <w:tcBorders>
              <w:top w:val="single" w:sz="4" w:space="0" w:color="auto"/>
            </w:tcBorders>
            <w:shd w:val="clear" w:color="auto" w:fill="auto"/>
          </w:tcPr>
          <w:p w14:paraId="3076352E" w14:textId="6CE5F3C8" w:rsidR="0061751E" w:rsidRPr="00BE1FB0" w:rsidRDefault="00E97B76" w:rsidP="00D6757F">
            <w:pPr>
              <w:widowControl w:val="0"/>
              <w:spacing w:line="360" w:lineRule="auto"/>
              <w:jc w:val="left"/>
              <w:rPr>
                <w:rFonts w:eastAsia="Times New Roman" w:cs="Times New Roman"/>
                <w:b/>
                <w:szCs w:val="20"/>
                <w:lang w:eastAsia="tr-TR"/>
              </w:rPr>
            </w:pPr>
            <w:proofErr w:type="spellStart"/>
            <w:r>
              <w:rPr>
                <w:rFonts w:eastAsia="Times New Roman" w:cs="Times New Roman"/>
                <w:b/>
                <w:szCs w:val="20"/>
                <w:lang w:eastAsia="tr-TR"/>
              </w:rPr>
              <w:t>Öznur</w:t>
            </w:r>
            <w:proofErr w:type="spellEnd"/>
            <w:r>
              <w:rPr>
                <w:rFonts w:eastAsia="Times New Roman" w:cs="Times New Roman"/>
                <w:b/>
                <w:szCs w:val="20"/>
                <w:lang w:eastAsia="tr-TR"/>
              </w:rPr>
              <w:t xml:space="preserve"> </w:t>
            </w:r>
            <w:proofErr w:type="spellStart"/>
            <w:r>
              <w:rPr>
                <w:rFonts w:eastAsia="Times New Roman" w:cs="Times New Roman"/>
                <w:b/>
                <w:szCs w:val="20"/>
                <w:lang w:eastAsia="tr-TR"/>
              </w:rPr>
              <w:t>Eker</w:t>
            </w:r>
            <w:proofErr w:type="spellEnd"/>
            <w:r w:rsidR="0061751E" w:rsidRPr="00BE1FB0">
              <w:rPr>
                <w:rFonts w:eastAsia="Times New Roman" w:cs="Times New Roman"/>
                <w:b/>
                <w:szCs w:val="20"/>
                <w:lang w:eastAsia="tr-TR"/>
              </w:rPr>
              <w:t xml:space="preserve"> </w:t>
            </w:r>
          </w:p>
          <w:p w14:paraId="41E30578" w14:textId="54536A75"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6BFA9FAB" wp14:editId="08CC40EF">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E97B76" w:rsidRPr="00E97B76">
              <w:rPr>
                <w:rFonts w:eastAsia="Times New Roman" w:cs="Times New Roman"/>
                <w:szCs w:val="20"/>
                <w:lang w:val="tr-TR" w:eastAsia="tr-TR"/>
              </w:rPr>
              <w:t>https://orcid.org/0000-0003-0676-3562</w:t>
            </w:r>
          </w:p>
          <w:p w14:paraId="309C3561" w14:textId="77777777" w:rsidR="00E97B76" w:rsidRDefault="00E97B76" w:rsidP="00D6757F">
            <w:pPr>
              <w:widowControl w:val="0"/>
              <w:spacing w:line="360" w:lineRule="auto"/>
              <w:jc w:val="left"/>
              <w:rPr>
                <w:rFonts w:eastAsia="Times New Roman" w:cs="Times New Roman"/>
                <w:szCs w:val="20"/>
                <w:lang w:eastAsia="tr-TR"/>
              </w:rPr>
            </w:pPr>
            <w:proofErr w:type="spellStart"/>
            <w:r w:rsidRPr="00E97B76">
              <w:rPr>
                <w:rFonts w:eastAsia="Times New Roman" w:cs="Times New Roman"/>
                <w:szCs w:val="20"/>
                <w:lang w:eastAsia="tr-TR"/>
              </w:rPr>
              <w:t>Ondokuz</w:t>
            </w:r>
            <w:proofErr w:type="spellEnd"/>
            <w:r w:rsidRPr="00E97B76">
              <w:rPr>
                <w:rFonts w:eastAsia="Times New Roman" w:cs="Times New Roman"/>
                <w:szCs w:val="20"/>
                <w:lang w:eastAsia="tr-TR"/>
              </w:rPr>
              <w:t xml:space="preserve"> </w:t>
            </w:r>
            <w:proofErr w:type="spellStart"/>
            <w:r w:rsidRPr="00E97B76">
              <w:rPr>
                <w:rFonts w:eastAsia="Times New Roman" w:cs="Times New Roman"/>
                <w:szCs w:val="20"/>
                <w:lang w:eastAsia="tr-TR"/>
              </w:rPr>
              <w:t>Mayis</w:t>
            </w:r>
            <w:proofErr w:type="spellEnd"/>
            <w:r w:rsidRPr="00E97B76">
              <w:rPr>
                <w:rFonts w:eastAsia="Times New Roman" w:cs="Times New Roman"/>
                <w:szCs w:val="20"/>
                <w:lang w:eastAsia="tr-TR"/>
              </w:rPr>
              <w:t xml:space="preserve"> University</w:t>
            </w:r>
            <w:r w:rsidRPr="00E97B76">
              <w:rPr>
                <w:rFonts w:eastAsia="Times New Roman" w:cs="Times New Roman"/>
                <w:szCs w:val="20"/>
                <w:lang w:eastAsia="tr-TR"/>
              </w:rPr>
              <w:t xml:space="preserve"> </w:t>
            </w:r>
          </w:p>
          <w:p w14:paraId="32004378" w14:textId="4F291B80" w:rsidR="00E70343" w:rsidRDefault="00E70343" w:rsidP="00D6757F">
            <w:pPr>
              <w:widowControl w:val="0"/>
              <w:spacing w:line="360" w:lineRule="auto"/>
              <w:jc w:val="left"/>
              <w:rPr>
                <w:rFonts w:eastAsia="Times New Roman" w:cs="Times New Roman"/>
                <w:szCs w:val="20"/>
                <w:lang w:eastAsia="tr-TR"/>
              </w:rPr>
            </w:pPr>
            <w:r w:rsidRPr="000237E2">
              <w:rPr>
                <w:rFonts w:cs="Times New Roman"/>
              </w:rPr>
              <w:t>Department of Educational Sciences</w:t>
            </w:r>
          </w:p>
          <w:p w14:paraId="1AA7F8F2" w14:textId="6D5005ED" w:rsidR="0061751E" w:rsidRPr="00BE1FB0" w:rsidRDefault="00E97B76"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Samsun</w:t>
            </w:r>
          </w:p>
          <w:p w14:paraId="39062160" w14:textId="45C990F4" w:rsidR="0061751E" w:rsidRPr="00BE1FB0" w:rsidRDefault="00E97B76"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T</w:t>
            </w:r>
            <w:r w:rsidR="009065EC">
              <w:rPr>
                <w:rFonts w:eastAsia="Times New Roman" w:cs="Times New Roman"/>
                <w:szCs w:val="20"/>
                <w:lang w:eastAsia="tr-TR"/>
              </w:rPr>
              <w:t>ürkiye</w:t>
            </w:r>
          </w:p>
          <w:p w14:paraId="3B3B21F6" w14:textId="1AB850FB" w:rsidR="0061751E" w:rsidRPr="00BE1FB0" w:rsidRDefault="0061751E" w:rsidP="00D6757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00E97B76" w:rsidRPr="00E97B76">
              <w:rPr>
                <w:rFonts w:cs="Times New Roman"/>
                <w:i/>
                <w:szCs w:val="20"/>
              </w:rPr>
              <w:t>a.oznureker@gmail.com</w:t>
            </w:r>
          </w:p>
        </w:tc>
        <w:tc>
          <w:tcPr>
            <w:tcW w:w="4502" w:type="dxa"/>
            <w:tcBorders>
              <w:top w:val="single" w:sz="4" w:space="0" w:color="auto"/>
            </w:tcBorders>
            <w:shd w:val="clear" w:color="auto" w:fill="auto"/>
          </w:tcPr>
          <w:p w14:paraId="6692BC26" w14:textId="7EE7E2F9" w:rsidR="0061751E" w:rsidRPr="00BE1FB0" w:rsidRDefault="00E97B76" w:rsidP="00D6757F">
            <w:pPr>
              <w:widowControl w:val="0"/>
              <w:spacing w:line="360" w:lineRule="auto"/>
              <w:jc w:val="left"/>
              <w:rPr>
                <w:rFonts w:eastAsia="Times New Roman" w:cs="Times New Roman"/>
                <w:b/>
                <w:szCs w:val="20"/>
                <w:lang w:eastAsia="tr-TR"/>
              </w:rPr>
            </w:pPr>
            <w:r>
              <w:rPr>
                <w:rFonts w:eastAsia="Times New Roman" w:cs="Times New Roman"/>
                <w:b/>
                <w:szCs w:val="20"/>
                <w:lang w:eastAsia="tr-TR"/>
              </w:rPr>
              <w:t xml:space="preserve">Bayram </w:t>
            </w:r>
            <w:proofErr w:type="spellStart"/>
            <w:r>
              <w:rPr>
                <w:rFonts w:eastAsia="Times New Roman" w:cs="Times New Roman"/>
                <w:b/>
                <w:szCs w:val="20"/>
                <w:lang w:eastAsia="tr-TR"/>
              </w:rPr>
              <w:t>Özer</w:t>
            </w:r>
            <w:proofErr w:type="spellEnd"/>
          </w:p>
          <w:p w14:paraId="2648D938" w14:textId="6BE9A987"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1EE3D430" wp14:editId="254FF43B">
                  <wp:extent cx="161925" cy="161925"/>
                  <wp:effectExtent l="0" t="0" r="9525" b="9525"/>
                  <wp:docPr id="2" name="Resim 2"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E97B76" w:rsidRPr="00E97B76">
              <w:rPr>
                <w:rFonts w:eastAsia="Times New Roman" w:cs="Times New Roman"/>
                <w:szCs w:val="20"/>
                <w:lang w:val="tr-TR" w:eastAsia="tr-TR"/>
              </w:rPr>
              <w:t>https://orcid.org/0000-0003-4375-4104</w:t>
            </w:r>
          </w:p>
          <w:p w14:paraId="171AB682" w14:textId="77777777" w:rsidR="00E97B76" w:rsidRDefault="00E97B76" w:rsidP="00E97B76">
            <w:pPr>
              <w:widowControl w:val="0"/>
              <w:spacing w:line="360" w:lineRule="auto"/>
              <w:jc w:val="left"/>
              <w:rPr>
                <w:rFonts w:eastAsia="Times New Roman" w:cs="Times New Roman"/>
                <w:szCs w:val="20"/>
                <w:lang w:eastAsia="tr-TR"/>
              </w:rPr>
            </w:pPr>
            <w:proofErr w:type="spellStart"/>
            <w:r w:rsidRPr="00E97B76">
              <w:rPr>
                <w:rFonts w:eastAsia="Times New Roman" w:cs="Times New Roman"/>
                <w:szCs w:val="20"/>
                <w:lang w:eastAsia="tr-TR"/>
              </w:rPr>
              <w:t>Ondokuz</w:t>
            </w:r>
            <w:proofErr w:type="spellEnd"/>
            <w:r w:rsidRPr="00E97B76">
              <w:rPr>
                <w:rFonts w:eastAsia="Times New Roman" w:cs="Times New Roman"/>
                <w:szCs w:val="20"/>
                <w:lang w:eastAsia="tr-TR"/>
              </w:rPr>
              <w:t xml:space="preserve"> </w:t>
            </w:r>
            <w:proofErr w:type="spellStart"/>
            <w:r w:rsidRPr="00E97B76">
              <w:rPr>
                <w:rFonts w:eastAsia="Times New Roman" w:cs="Times New Roman"/>
                <w:szCs w:val="20"/>
                <w:lang w:eastAsia="tr-TR"/>
              </w:rPr>
              <w:t>Mayis</w:t>
            </w:r>
            <w:proofErr w:type="spellEnd"/>
            <w:r w:rsidRPr="00E97B76">
              <w:rPr>
                <w:rFonts w:eastAsia="Times New Roman" w:cs="Times New Roman"/>
                <w:szCs w:val="20"/>
                <w:lang w:eastAsia="tr-TR"/>
              </w:rPr>
              <w:t xml:space="preserve"> University </w:t>
            </w:r>
          </w:p>
          <w:p w14:paraId="32A5150A" w14:textId="0224E7D2" w:rsidR="00E70343" w:rsidRDefault="00E70343" w:rsidP="00E97B76">
            <w:pPr>
              <w:widowControl w:val="0"/>
              <w:spacing w:line="360" w:lineRule="auto"/>
              <w:jc w:val="left"/>
              <w:rPr>
                <w:rFonts w:eastAsia="Times New Roman" w:cs="Times New Roman"/>
                <w:szCs w:val="20"/>
                <w:lang w:eastAsia="tr-TR"/>
              </w:rPr>
            </w:pPr>
            <w:r w:rsidRPr="000237E2">
              <w:rPr>
                <w:rFonts w:cs="Times New Roman"/>
              </w:rPr>
              <w:t>Department of Educational Sciences</w:t>
            </w:r>
          </w:p>
          <w:p w14:paraId="76D85730" w14:textId="55AEEC1E" w:rsidR="00E97B76" w:rsidRPr="00BE1FB0" w:rsidRDefault="00E97B76" w:rsidP="00E97B76">
            <w:pPr>
              <w:widowControl w:val="0"/>
              <w:spacing w:line="360" w:lineRule="auto"/>
              <w:jc w:val="left"/>
              <w:rPr>
                <w:rFonts w:eastAsia="Times New Roman" w:cs="Times New Roman"/>
                <w:szCs w:val="20"/>
                <w:lang w:eastAsia="tr-TR"/>
              </w:rPr>
            </w:pPr>
            <w:r>
              <w:rPr>
                <w:rFonts w:eastAsia="Times New Roman" w:cs="Times New Roman"/>
                <w:szCs w:val="20"/>
                <w:lang w:eastAsia="tr-TR"/>
              </w:rPr>
              <w:t>Samsun</w:t>
            </w:r>
          </w:p>
          <w:p w14:paraId="6495D4F4" w14:textId="1A86344A" w:rsidR="00E97B76" w:rsidRPr="00BE1FB0" w:rsidRDefault="00E97B76" w:rsidP="00E97B76">
            <w:pPr>
              <w:widowControl w:val="0"/>
              <w:spacing w:line="360" w:lineRule="auto"/>
              <w:jc w:val="left"/>
              <w:rPr>
                <w:rFonts w:eastAsia="Times New Roman" w:cs="Times New Roman"/>
                <w:szCs w:val="20"/>
                <w:lang w:eastAsia="tr-TR"/>
              </w:rPr>
            </w:pPr>
            <w:r>
              <w:rPr>
                <w:rFonts w:eastAsia="Times New Roman" w:cs="Times New Roman"/>
                <w:szCs w:val="20"/>
                <w:lang w:eastAsia="tr-TR"/>
              </w:rPr>
              <w:t>T</w:t>
            </w:r>
            <w:r w:rsidR="009065EC">
              <w:rPr>
                <w:rFonts w:eastAsia="Times New Roman" w:cs="Times New Roman"/>
                <w:szCs w:val="20"/>
                <w:lang w:eastAsia="tr-TR"/>
              </w:rPr>
              <w:t>ürkiye</w:t>
            </w:r>
          </w:p>
          <w:p w14:paraId="7AE16A27" w14:textId="609CF334" w:rsidR="0061751E" w:rsidRPr="00BE1FB0" w:rsidRDefault="00D27CED" w:rsidP="00D6757F">
            <w:pPr>
              <w:widowControl w:val="0"/>
              <w:spacing w:line="360" w:lineRule="auto"/>
              <w:jc w:val="left"/>
              <w:rPr>
                <w:rFonts w:eastAsia="Times New Roman" w:cs="Times New Roman"/>
                <w:b/>
                <w:szCs w:val="20"/>
                <w:lang w:eastAsia="tr-TR"/>
              </w:rPr>
            </w:pPr>
            <w:r w:rsidRPr="00BE1FB0">
              <w:rPr>
                <w:rFonts w:cs="Times New Roman"/>
                <w:szCs w:val="20"/>
              </w:rPr>
              <w:t xml:space="preserve">Contact e-mail: </w:t>
            </w:r>
            <w:r w:rsidR="00E97B76" w:rsidRPr="00E97B76">
              <w:rPr>
                <w:rFonts w:cs="Times New Roman"/>
                <w:i/>
                <w:szCs w:val="20"/>
              </w:rPr>
              <w:t>ozer.bayram@gmail.com</w:t>
            </w:r>
          </w:p>
        </w:tc>
      </w:tr>
      <w:tr w:rsidR="0061751E" w:rsidRPr="00BE1FB0" w14:paraId="66E66153" w14:textId="77777777" w:rsidTr="004031CA">
        <w:trPr>
          <w:jc w:val="center"/>
        </w:trPr>
        <w:tc>
          <w:tcPr>
            <w:tcW w:w="4503" w:type="dxa"/>
            <w:tcBorders>
              <w:bottom w:val="single" w:sz="4" w:space="0" w:color="auto"/>
            </w:tcBorders>
            <w:shd w:val="clear" w:color="auto" w:fill="auto"/>
          </w:tcPr>
          <w:p w14:paraId="3592EAAE" w14:textId="77777777" w:rsidR="0061751E" w:rsidRPr="00BE1FB0" w:rsidRDefault="0061751E" w:rsidP="00D6757F">
            <w:pPr>
              <w:widowControl w:val="0"/>
              <w:spacing w:line="360" w:lineRule="auto"/>
              <w:jc w:val="left"/>
              <w:rPr>
                <w:rFonts w:eastAsia="Times New Roman" w:cs="Times New Roman"/>
                <w:b/>
                <w:szCs w:val="20"/>
                <w:lang w:eastAsia="tr-TR"/>
              </w:rPr>
            </w:pPr>
          </w:p>
          <w:p w14:paraId="6041D832" w14:textId="0E5466A3" w:rsidR="0061751E" w:rsidRPr="00BE1FB0" w:rsidRDefault="009065EC" w:rsidP="00D6757F">
            <w:pPr>
              <w:widowControl w:val="0"/>
              <w:spacing w:line="360" w:lineRule="auto"/>
              <w:jc w:val="left"/>
              <w:rPr>
                <w:rFonts w:eastAsia="Times New Roman" w:cs="Times New Roman"/>
                <w:b/>
                <w:szCs w:val="20"/>
                <w:lang w:eastAsia="tr-TR"/>
              </w:rPr>
            </w:pPr>
            <w:proofErr w:type="spellStart"/>
            <w:r>
              <w:rPr>
                <w:rFonts w:eastAsia="Times New Roman" w:cs="Times New Roman"/>
                <w:b/>
                <w:szCs w:val="20"/>
                <w:lang w:eastAsia="tr-TR"/>
              </w:rPr>
              <w:t>Nurgün</w:t>
            </w:r>
            <w:proofErr w:type="spellEnd"/>
            <w:r>
              <w:rPr>
                <w:rFonts w:eastAsia="Times New Roman" w:cs="Times New Roman"/>
                <w:b/>
                <w:szCs w:val="20"/>
                <w:lang w:eastAsia="tr-TR"/>
              </w:rPr>
              <w:t xml:space="preserve"> </w:t>
            </w:r>
            <w:proofErr w:type="spellStart"/>
            <w:r>
              <w:rPr>
                <w:rFonts w:eastAsia="Times New Roman" w:cs="Times New Roman"/>
                <w:b/>
                <w:szCs w:val="20"/>
                <w:lang w:eastAsia="tr-TR"/>
              </w:rPr>
              <w:t>Gençel</w:t>
            </w:r>
            <w:proofErr w:type="spellEnd"/>
          </w:p>
          <w:p w14:paraId="590FDED6" w14:textId="3993AE3A"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07593728" wp14:editId="04A5A418">
                  <wp:extent cx="161925" cy="161925"/>
                  <wp:effectExtent l="0" t="0" r="9525" b="9525"/>
                  <wp:docPr id="4"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2A4E24" w:rsidRPr="002A4E24">
              <w:rPr>
                <w:rFonts w:eastAsia="Times New Roman" w:cs="Times New Roman"/>
                <w:szCs w:val="20"/>
                <w:lang w:val="tr-TR" w:eastAsia="tr-TR"/>
              </w:rPr>
              <w:t>https://orcid.org/0000-0002-8574-445X</w:t>
            </w:r>
          </w:p>
          <w:p w14:paraId="72066AF1" w14:textId="77777777" w:rsidR="002A4E24" w:rsidRDefault="002A4E24" w:rsidP="00D6757F">
            <w:pPr>
              <w:widowControl w:val="0"/>
              <w:spacing w:line="360" w:lineRule="auto"/>
              <w:jc w:val="left"/>
              <w:rPr>
                <w:rFonts w:eastAsia="Times New Roman" w:cs="Times New Roman"/>
                <w:szCs w:val="20"/>
                <w:lang w:eastAsia="tr-TR"/>
              </w:rPr>
            </w:pPr>
            <w:r w:rsidRPr="002A4E24">
              <w:rPr>
                <w:rFonts w:eastAsia="Times New Roman" w:cs="Times New Roman"/>
                <w:szCs w:val="20"/>
                <w:lang w:eastAsia="tr-TR"/>
              </w:rPr>
              <w:t>Turkish Ministry of National Education</w:t>
            </w:r>
            <w:r w:rsidRPr="002A4E24">
              <w:rPr>
                <w:rFonts w:eastAsia="Times New Roman" w:cs="Times New Roman"/>
                <w:szCs w:val="20"/>
                <w:lang w:eastAsia="tr-TR"/>
              </w:rPr>
              <w:t xml:space="preserve"> </w:t>
            </w:r>
          </w:p>
          <w:p w14:paraId="70048102" w14:textId="4A7F15F9" w:rsidR="0061751E" w:rsidRPr="00BE1FB0" w:rsidRDefault="002A4E24" w:rsidP="00D6757F">
            <w:pPr>
              <w:widowControl w:val="0"/>
              <w:spacing w:line="360" w:lineRule="auto"/>
              <w:jc w:val="left"/>
              <w:rPr>
                <w:rFonts w:eastAsia="Times New Roman" w:cs="Times New Roman"/>
                <w:szCs w:val="20"/>
                <w:lang w:eastAsia="tr-TR"/>
              </w:rPr>
            </w:pPr>
            <w:proofErr w:type="spellStart"/>
            <w:r>
              <w:rPr>
                <w:rFonts w:eastAsia="Times New Roman" w:cs="Times New Roman"/>
                <w:szCs w:val="20"/>
                <w:lang w:eastAsia="tr-TR"/>
              </w:rPr>
              <w:t>Bartın</w:t>
            </w:r>
            <w:proofErr w:type="spellEnd"/>
          </w:p>
          <w:p w14:paraId="77D61BC4" w14:textId="393C9FEC" w:rsidR="0061751E" w:rsidRDefault="002A4E24" w:rsidP="00D6757F">
            <w:pPr>
              <w:widowControl w:val="0"/>
              <w:spacing w:line="360" w:lineRule="auto"/>
              <w:jc w:val="left"/>
              <w:rPr>
                <w:rFonts w:eastAsia="Times New Roman" w:cs="Times New Roman"/>
                <w:szCs w:val="20"/>
                <w:lang w:eastAsia="tr-TR"/>
              </w:rPr>
            </w:pPr>
            <w:r>
              <w:rPr>
                <w:rFonts w:eastAsia="Times New Roman" w:cs="Times New Roman"/>
                <w:szCs w:val="20"/>
                <w:lang w:eastAsia="tr-TR"/>
              </w:rPr>
              <w:t>T</w:t>
            </w:r>
            <w:r w:rsidR="009065EC">
              <w:rPr>
                <w:rFonts w:eastAsia="Times New Roman" w:cs="Times New Roman"/>
                <w:szCs w:val="20"/>
                <w:lang w:eastAsia="tr-TR"/>
              </w:rPr>
              <w:t>ürkiye</w:t>
            </w:r>
          </w:p>
          <w:p w14:paraId="6BF41993" w14:textId="315BFD01" w:rsidR="00D27CED" w:rsidRPr="00BE1FB0" w:rsidRDefault="00D27CED" w:rsidP="00D6757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002A4E24" w:rsidRPr="002A4E24">
              <w:rPr>
                <w:rFonts w:cs="Times New Roman"/>
                <w:i/>
                <w:iCs/>
                <w:szCs w:val="20"/>
              </w:rPr>
              <w:t>nurgungencel@gmail.com</w:t>
            </w:r>
          </w:p>
        </w:tc>
        <w:tc>
          <w:tcPr>
            <w:tcW w:w="4478" w:type="dxa"/>
            <w:tcBorders>
              <w:bottom w:val="single" w:sz="4" w:space="0" w:color="auto"/>
            </w:tcBorders>
            <w:shd w:val="clear" w:color="auto" w:fill="auto"/>
          </w:tcPr>
          <w:p w14:paraId="0E86017C" w14:textId="77777777" w:rsidR="0061751E" w:rsidRPr="00BE1FB0" w:rsidRDefault="0061751E" w:rsidP="00D6757F">
            <w:pPr>
              <w:widowControl w:val="0"/>
              <w:spacing w:line="360" w:lineRule="auto"/>
              <w:jc w:val="left"/>
              <w:rPr>
                <w:rFonts w:eastAsia="Times New Roman" w:cs="Times New Roman"/>
                <w:b/>
                <w:szCs w:val="20"/>
                <w:lang w:eastAsia="tr-TR"/>
              </w:rPr>
            </w:pPr>
          </w:p>
          <w:p w14:paraId="2BBF59D7" w14:textId="73508CF4" w:rsidR="00D27CED" w:rsidRPr="00BE1FB0" w:rsidRDefault="00D27CED" w:rsidP="00D6757F">
            <w:pPr>
              <w:widowControl w:val="0"/>
              <w:spacing w:line="360" w:lineRule="auto"/>
              <w:jc w:val="left"/>
              <w:rPr>
                <w:rFonts w:eastAsia="Times New Roman" w:cs="Times New Roman"/>
                <w:szCs w:val="20"/>
                <w:lang w:eastAsia="tr-TR"/>
              </w:rPr>
            </w:pPr>
          </w:p>
        </w:tc>
      </w:tr>
    </w:tbl>
    <w:p w14:paraId="2F308D49" w14:textId="77777777" w:rsidR="00000000" w:rsidRDefault="00000000" w:rsidP="00D6757F">
      <w:pPr>
        <w:widowControl w:val="0"/>
        <w:spacing w:line="360" w:lineRule="auto"/>
        <w:jc w:val="center"/>
      </w:pPr>
    </w:p>
    <w:sectPr w:rsidR="00BC5C28" w:rsidSect="003F2EB8">
      <w:footerReference w:type="even" r:id="rId34"/>
      <w:footerReference w:type="default" r:id="rId35"/>
      <w:headerReference w:type="first" r:id="rId36"/>
      <w:footerReference w:type="first" r:id="rId37"/>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3A4DB" w14:textId="77777777" w:rsidR="00685222" w:rsidRDefault="00685222" w:rsidP="00B53264">
      <w:r>
        <w:separator/>
      </w:r>
    </w:p>
  </w:endnote>
  <w:endnote w:type="continuationSeparator" w:id="0">
    <w:p w14:paraId="6E4154DB" w14:textId="77777777" w:rsidR="00685222" w:rsidRDefault="00685222"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46629"/>
      <w:docPartObj>
        <w:docPartGallery w:val="Page Numbers (Bottom of Page)"/>
        <w:docPartUnique/>
      </w:docPartObj>
    </w:sdtPr>
    <w:sdtEndPr>
      <w:rPr>
        <w:rFonts w:cs="Times New Roman"/>
        <w:szCs w:val="20"/>
      </w:rPr>
    </w:sdtEndPr>
    <w:sdtContent>
      <w:p w14:paraId="1A2E9BDE" w14:textId="77777777"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108508"/>
      <w:docPartObj>
        <w:docPartGallery w:val="Page Numbers (Bottom of Page)"/>
        <w:docPartUnique/>
      </w:docPartObj>
    </w:sdtPr>
    <w:sdtEndPr>
      <w:rPr>
        <w:rFonts w:cs="Times New Roman"/>
        <w:szCs w:val="20"/>
      </w:rPr>
    </w:sdtEndPr>
    <w:sdtContent>
      <w:p w14:paraId="6D641CB6" w14:textId="77777777"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485585"/>
      <w:docPartObj>
        <w:docPartGallery w:val="Page Numbers (Bottom of Page)"/>
        <w:docPartUnique/>
      </w:docPartObj>
    </w:sdtPr>
    <w:sdtEndPr>
      <w:rPr>
        <w:rFonts w:cs="Times New Roman"/>
        <w:szCs w:val="20"/>
      </w:rPr>
    </w:sdtEndPr>
    <w:sdtContent>
      <w:p w14:paraId="50FD6119" w14:textId="77777777" w:rsidR="00000000" w:rsidRPr="00200F83" w:rsidRDefault="00B0536F" w:rsidP="000C776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7E49B" w14:textId="77777777" w:rsidR="00685222" w:rsidRDefault="00685222" w:rsidP="00B53264">
      <w:r>
        <w:separator/>
      </w:r>
    </w:p>
  </w:footnote>
  <w:footnote w:type="continuationSeparator" w:id="0">
    <w:p w14:paraId="60B4FE2C" w14:textId="77777777" w:rsidR="00685222" w:rsidRDefault="00685222"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338F" w14:textId="289CC622" w:rsidR="003F2EB8" w:rsidRPr="003F2EB8" w:rsidRDefault="003F2EB8" w:rsidP="003F2EB8">
    <w:pPr>
      <w:pStyle w:val="stBilgi"/>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B31C7"/>
    <w:multiLevelType w:val="multilevel"/>
    <w:tmpl w:val="B3DE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A73847"/>
    <w:multiLevelType w:val="multilevel"/>
    <w:tmpl w:val="61B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0953762">
    <w:abstractNumId w:val="0"/>
  </w:num>
  <w:num w:numId="2" w16cid:durableId="199736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64"/>
    <w:rsid w:val="000238B4"/>
    <w:rsid w:val="00050D78"/>
    <w:rsid w:val="000670F5"/>
    <w:rsid w:val="000747C1"/>
    <w:rsid w:val="00081E9E"/>
    <w:rsid w:val="000D34A4"/>
    <w:rsid w:val="000E13E2"/>
    <w:rsid w:val="00120DC1"/>
    <w:rsid w:val="001552C4"/>
    <w:rsid w:val="00166C12"/>
    <w:rsid w:val="00176378"/>
    <w:rsid w:val="00182E82"/>
    <w:rsid w:val="001905F6"/>
    <w:rsid w:val="00193B7B"/>
    <w:rsid w:val="001B6A76"/>
    <w:rsid w:val="001D7BCD"/>
    <w:rsid w:val="00200F83"/>
    <w:rsid w:val="00211108"/>
    <w:rsid w:val="002A4E24"/>
    <w:rsid w:val="00302ECB"/>
    <w:rsid w:val="00336A42"/>
    <w:rsid w:val="003604CB"/>
    <w:rsid w:val="00395629"/>
    <w:rsid w:val="003A543C"/>
    <w:rsid w:val="003F1413"/>
    <w:rsid w:val="003F2DD4"/>
    <w:rsid w:val="003F2EB8"/>
    <w:rsid w:val="004052F4"/>
    <w:rsid w:val="00413064"/>
    <w:rsid w:val="00417A87"/>
    <w:rsid w:val="00441EC3"/>
    <w:rsid w:val="00447DA6"/>
    <w:rsid w:val="00450227"/>
    <w:rsid w:val="004535A7"/>
    <w:rsid w:val="00460DB5"/>
    <w:rsid w:val="004A2D3E"/>
    <w:rsid w:val="004A7B74"/>
    <w:rsid w:val="004B0316"/>
    <w:rsid w:val="004E6589"/>
    <w:rsid w:val="004F0A1C"/>
    <w:rsid w:val="00555CA1"/>
    <w:rsid w:val="0056201F"/>
    <w:rsid w:val="00565123"/>
    <w:rsid w:val="005667F3"/>
    <w:rsid w:val="00584FEB"/>
    <w:rsid w:val="00594454"/>
    <w:rsid w:val="005A1152"/>
    <w:rsid w:val="005B5915"/>
    <w:rsid w:val="005C3033"/>
    <w:rsid w:val="005E38B1"/>
    <w:rsid w:val="005E45AA"/>
    <w:rsid w:val="0060578E"/>
    <w:rsid w:val="0061751E"/>
    <w:rsid w:val="006652C9"/>
    <w:rsid w:val="00685222"/>
    <w:rsid w:val="006B3068"/>
    <w:rsid w:val="006B48FD"/>
    <w:rsid w:val="006D1697"/>
    <w:rsid w:val="006F04B7"/>
    <w:rsid w:val="00703605"/>
    <w:rsid w:val="00723FB7"/>
    <w:rsid w:val="0076255F"/>
    <w:rsid w:val="007755B7"/>
    <w:rsid w:val="00776437"/>
    <w:rsid w:val="00794067"/>
    <w:rsid w:val="00794D7C"/>
    <w:rsid w:val="007B0F9B"/>
    <w:rsid w:val="007B5319"/>
    <w:rsid w:val="007D7E88"/>
    <w:rsid w:val="007E2CFC"/>
    <w:rsid w:val="0080448C"/>
    <w:rsid w:val="00824680"/>
    <w:rsid w:val="00826913"/>
    <w:rsid w:val="00871255"/>
    <w:rsid w:val="009065EC"/>
    <w:rsid w:val="00990B96"/>
    <w:rsid w:val="009A294D"/>
    <w:rsid w:val="009F5356"/>
    <w:rsid w:val="00A56469"/>
    <w:rsid w:val="00A94855"/>
    <w:rsid w:val="00B0536F"/>
    <w:rsid w:val="00B378C9"/>
    <w:rsid w:val="00B53264"/>
    <w:rsid w:val="00B55656"/>
    <w:rsid w:val="00B55C75"/>
    <w:rsid w:val="00B607D5"/>
    <w:rsid w:val="00B95DC3"/>
    <w:rsid w:val="00BB39AA"/>
    <w:rsid w:val="00BD0974"/>
    <w:rsid w:val="00C17319"/>
    <w:rsid w:val="00C4627A"/>
    <w:rsid w:val="00C46592"/>
    <w:rsid w:val="00C7299E"/>
    <w:rsid w:val="00C74A34"/>
    <w:rsid w:val="00C809BF"/>
    <w:rsid w:val="00CA586A"/>
    <w:rsid w:val="00CD3266"/>
    <w:rsid w:val="00CD3E7A"/>
    <w:rsid w:val="00D27CED"/>
    <w:rsid w:val="00D34C81"/>
    <w:rsid w:val="00D6757F"/>
    <w:rsid w:val="00D7219B"/>
    <w:rsid w:val="00D849D2"/>
    <w:rsid w:val="00DC05F6"/>
    <w:rsid w:val="00E14E45"/>
    <w:rsid w:val="00E70343"/>
    <w:rsid w:val="00E75C97"/>
    <w:rsid w:val="00E97B76"/>
    <w:rsid w:val="00EB4F66"/>
    <w:rsid w:val="00EC51AC"/>
    <w:rsid w:val="00EE1D32"/>
    <w:rsid w:val="00EE5907"/>
    <w:rsid w:val="00EF7963"/>
    <w:rsid w:val="00F207CE"/>
    <w:rsid w:val="00F3249D"/>
    <w:rsid w:val="00F32946"/>
    <w:rsid w:val="00F70134"/>
    <w:rsid w:val="00F83162"/>
    <w:rsid w:val="00F956A3"/>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 w:type="paragraph" w:styleId="NormalWeb">
    <w:name w:val="Normal (Web)"/>
    <w:basedOn w:val="Normal"/>
    <w:uiPriority w:val="99"/>
    <w:unhideWhenUsed/>
    <w:rsid w:val="00336A42"/>
    <w:pPr>
      <w:suppressAutoHyphens w:val="0"/>
      <w:spacing w:before="100" w:beforeAutospacing="1" w:after="100" w:afterAutospacing="1"/>
      <w:jc w:val="left"/>
    </w:pPr>
    <w:rPr>
      <w:rFonts w:eastAsia="Times New Roman" w:cs="Times New Roman"/>
      <w:sz w:val="24"/>
      <w:szCs w:val="24"/>
      <w:lang w:val="tr-TR" w:eastAsia="tr-TR"/>
    </w:rPr>
  </w:style>
  <w:style w:type="table" w:styleId="DzTablo2">
    <w:name w:val="Plain Table 2"/>
    <w:basedOn w:val="NormalTablo"/>
    <w:uiPriority w:val="42"/>
    <w:rsid w:val="000E13E2"/>
    <w:pPr>
      <w:spacing w:after="0" w:line="240" w:lineRule="auto"/>
      <w:ind w:firstLine="567"/>
      <w:jc w:val="both"/>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2">
    <w:name w:val="List Table 2"/>
    <w:basedOn w:val="NormalTablo"/>
    <w:uiPriority w:val="47"/>
    <w:rsid w:val="000E13E2"/>
    <w:pPr>
      <w:spacing w:after="0" w:line="240" w:lineRule="auto"/>
    </w:pPr>
    <w:rPr>
      <w:lang w:val="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0E13E2"/>
    <w:pPr>
      <w:suppressAutoHyphens w:val="0"/>
      <w:ind w:left="720"/>
      <w:contextualSpacing/>
      <w:jc w:val="left"/>
    </w:pPr>
    <w:rPr>
      <w:rFonts w:asciiTheme="minorHAnsi" w:eastAsiaTheme="minorHAnsi" w:hAnsiTheme="minorHAnsi" w:cstheme="minorBidi"/>
      <w:sz w:val="24"/>
      <w:szCs w:val="24"/>
      <w:lang w:val="tr-TR" w:eastAsia="en-US"/>
    </w:rPr>
  </w:style>
  <w:style w:type="table" w:customStyle="1" w:styleId="AkGlgeleme1">
    <w:name w:val="Açık Gölgeleme1"/>
    <w:basedOn w:val="NormalTablo"/>
    <w:uiPriority w:val="60"/>
    <w:rsid w:val="000E13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mlenmeyenBahsetme">
    <w:name w:val="Unresolved Mention"/>
    <w:basedOn w:val="VarsaylanParagrafYazTipi"/>
    <w:uiPriority w:val="99"/>
    <w:semiHidden/>
    <w:unhideWhenUsed/>
    <w:rsid w:val="00794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articles/s41598-020-65705-7" TargetMode="External"/><Relationship Id="rId18" Type="http://schemas.openxmlformats.org/officeDocument/2006/relationships/hyperlink" Target="https://doi.org/10.1016/j.concog.2024.103694" TargetMode="External"/><Relationship Id="rId26" Type="http://schemas.openxmlformats.org/officeDocument/2006/relationships/hyperlink" Target="https://doi.org/10.1007/s10648-004-0005-y" TargetMode="External"/><Relationship Id="rId39" Type="http://schemas.openxmlformats.org/officeDocument/2006/relationships/theme" Target="theme/theme1.xml"/><Relationship Id="rId21" Type="http://schemas.openxmlformats.org/officeDocument/2006/relationships/hyperlink" Target="https://doi.org/10.1016/j.cortex.2023.06.00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S0191-8869(98)00112-3" TargetMode="External"/><Relationship Id="rId17" Type="http://schemas.openxmlformats.org/officeDocument/2006/relationships/hyperlink" Target="https://doi.org/10.1016/j.cortex.2017.10.014" TargetMode="External"/><Relationship Id="rId25" Type="http://schemas.openxmlformats.org/officeDocument/2006/relationships/hyperlink" Target="https://bmcmedicine.biomedcentral.com/articles/10.1186/1741-7015-9-75"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4449/aib.v148i1.965" TargetMode="External"/><Relationship Id="rId20" Type="http://schemas.openxmlformats.org/officeDocument/2006/relationships/hyperlink" Target="https://doi.org/10.1016/j.cortex.2021.07.012" TargetMode="External"/><Relationship Id="rId29" Type="http://schemas.openxmlformats.org/officeDocument/2006/relationships/hyperlink" Target="https://doi.org/10.1007/s10734-004-666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2044-8279.1998.tb01302.x" TargetMode="External"/><Relationship Id="rId24" Type="http://schemas.openxmlformats.org/officeDocument/2006/relationships/hyperlink" Target="https://doi.org/10.2307/748045" TargetMode="External"/><Relationship Id="rId32" Type="http://schemas.openxmlformats.org/officeDocument/2006/relationships/hyperlink" Target="https://doi.org/10.1016/j.cortex.2015.05.019"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2/j.2168-9830.2005.tb00829.x" TargetMode="External"/><Relationship Id="rId23" Type="http://schemas.openxmlformats.org/officeDocument/2006/relationships/hyperlink" Target="https://psychscenehub.com/wp-content/uploads/2021/03/Piaget-Cognitive-Development-in-Children.pdf" TargetMode="External"/><Relationship Id="rId28" Type="http://schemas.openxmlformats.org/officeDocument/2006/relationships/hyperlink" Target="https://doi.org/10.1111/j.2044-8279.1998.tb01281.x" TargetMode="External"/><Relationship Id="rId36" Type="http://schemas.openxmlformats.org/officeDocument/2006/relationships/header" Target="header1.xml"/><Relationship Id="rId10" Type="http://schemas.openxmlformats.org/officeDocument/2006/relationships/hyperlink" Target="https://doi.org/10.1348/00070990360626976" TargetMode="External"/><Relationship Id="rId19" Type="http://schemas.openxmlformats.org/officeDocument/2006/relationships/hyperlink" Target="https://doi.org/10.1016/j.cortex.2017.10.012" TargetMode="External"/><Relationship Id="rId31" Type="http://schemas.openxmlformats.org/officeDocument/2006/relationships/hyperlink" Target="https://doi.org/10.1177/10483950241263415b" TargetMode="External"/><Relationship Id="rId4" Type="http://schemas.openxmlformats.org/officeDocument/2006/relationships/settings" Target="settings.xml"/><Relationship Id="rId9" Type="http://schemas.openxmlformats.org/officeDocument/2006/relationships/hyperlink" Target="https://bold.expert/somelearners-cannot-visualise-things-in-their-minds-eye/" TargetMode="External"/><Relationship Id="rId14" Type="http://schemas.openxmlformats.org/officeDocument/2006/relationships/hyperlink" Target="https://www.unitus.org/FULL/DewLog38.pdf" TargetMode="External"/><Relationship Id="rId22" Type="http://schemas.openxmlformats.org/officeDocument/2006/relationships/hyperlink" Target="https://doi.org/10.1186/1741-7015-2-29" TargetMode="External"/><Relationship Id="rId27" Type="http://schemas.openxmlformats.org/officeDocument/2006/relationships/hyperlink" Target="https://doi.org/10.1007/BF03172925" TargetMode="External"/><Relationship Id="rId30" Type="http://schemas.openxmlformats.org/officeDocument/2006/relationships/hyperlink" Target="https://books.google.com.tr/books?id=RxjjUefze_oC&amp;lpg=PA1&amp;ots=ojDUQ2p38q&amp;dq=mind%20in%20society%20vygotsky&amp;lr&amp;hl=tr&amp;pg=PA1" TargetMode="Externa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B56-7BE0-40C3-8219-9A03785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4948</Words>
  <Characters>34290</Characters>
  <Application>Microsoft Office Word</Application>
  <DocSecurity>0</DocSecurity>
  <Lines>1106</Lines>
  <Paragraphs>594</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2020-11-21T17:08:00Z</dcterms:created>
  <dcterms:modified xsi:type="dcterms:W3CDTF">2024-09-23T06:11:00Z</dcterms:modified>
</cp:coreProperties>
</file>